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7728" w14:textId="77777777" w:rsidR="002D5A29" w:rsidRPr="000801AF" w:rsidRDefault="002D5A29" w:rsidP="002D5A29">
      <w:pPr>
        <w:rPr>
          <w:rFonts w:ascii="Verdana" w:hAnsi="Verdana"/>
          <w:szCs w:val="24"/>
        </w:rPr>
      </w:pPr>
      <w:bookmarkStart w:id="0" w:name="_Hlk116468053"/>
      <w:r w:rsidRPr="000801AF">
        <w:rPr>
          <w:rFonts w:ascii="Verdana" w:hAnsi="Verdana"/>
          <w:noProof/>
          <w:szCs w:val="24"/>
        </w:rPr>
        <w:drawing>
          <wp:anchor distT="0" distB="0" distL="114300" distR="114300" simplePos="0" relativeHeight="251659776" behindDoc="1" locked="0" layoutInCell="1" allowOverlap="1" wp14:anchorId="3CA3EAAD" wp14:editId="776EBB6C">
            <wp:simplePos x="0" y="0"/>
            <wp:positionH relativeFrom="column">
              <wp:posOffset>0</wp:posOffset>
            </wp:positionH>
            <wp:positionV relativeFrom="paragraph">
              <wp:posOffset>171450</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33204" w14:textId="77777777" w:rsidR="002D5A29" w:rsidRPr="003C3241" w:rsidRDefault="002D5A29" w:rsidP="002D5A29">
      <w:pPr>
        <w:jc w:val="center"/>
        <w:rPr>
          <w:rFonts w:ascii="Verdana" w:hAnsi="Verdana"/>
          <w:b/>
          <w:bCs/>
          <w:szCs w:val="24"/>
        </w:rPr>
      </w:pPr>
      <w:r w:rsidRPr="000801AF">
        <w:rPr>
          <w:rFonts w:ascii="Verdana" w:hAnsi="Verdana"/>
          <w:noProof/>
          <w:szCs w:val="24"/>
        </w:rPr>
        <w:drawing>
          <wp:anchor distT="0" distB="0" distL="114300" distR="114300" simplePos="0" relativeHeight="251660800" behindDoc="0" locked="0" layoutInCell="1" allowOverlap="1" wp14:anchorId="6E19107F" wp14:editId="529AD87D">
            <wp:simplePos x="0" y="0"/>
            <wp:positionH relativeFrom="column">
              <wp:posOffset>4324350</wp:posOffset>
            </wp:positionH>
            <wp:positionV relativeFrom="paragraph">
              <wp:posOffset>9525</wp:posOffset>
            </wp:positionV>
            <wp:extent cx="1980000" cy="504000"/>
            <wp:effectExtent l="0" t="0" r="0" b="0"/>
            <wp:wrapSquare wrapText="bothSides"/>
            <wp:docPr id="357233550" name="Picture 35723355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1AF">
        <w:rPr>
          <w:rFonts w:ascii="Verdana" w:hAnsi="Verdana"/>
          <w:szCs w:val="24"/>
        </w:rPr>
        <w:t xml:space="preserve">                                </w:t>
      </w:r>
      <w:r>
        <w:rPr>
          <w:rFonts w:ascii="Verdana" w:hAnsi="Verdana"/>
          <w:noProof/>
          <w:szCs w:val="24"/>
        </w:rPr>
        <w:drawing>
          <wp:inline distT="0" distB="0" distL="0" distR="0" wp14:anchorId="19701319" wp14:editId="7B9957D5">
            <wp:extent cx="617220" cy="1028700"/>
            <wp:effectExtent l="0" t="0" r="0" b="0"/>
            <wp:docPr id="1883744224"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1028700"/>
                    </a:xfrm>
                    <a:prstGeom prst="rect">
                      <a:avLst/>
                    </a:prstGeom>
                    <a:noFill/>
                    <a:ln>
                      <a:noFill/>
                    </a:ln>
                  </pic:spPr>
                </pic:pic>
              </a:graphicData>
            </a:graphic>
          </wp:inline>
        </w:drawing>
      </w:r>
    </w:p>
    <w:bookmarkEnd w:id="0"/>
    <w:p w14:paraId="62BC6112" w14:textId="77777777" w:rsidR="002D5A29" w:rsidRPr="001E6494" w:rsidRDefault="002D5A29" w:rsidP="002D5A29">
      <w:pPr>
        <w:pStyle w:val="Heading1"/>
        <w:jc w:val="center"/>
        <w:rPr>
          <w:rFonts w:ascii="Verdana" w:hAnsi="Verdana"/>
          <w:sz w:val="24"/>
          <w:szCs w:val="24"/>
        </w:rPr>
      </w:pPr>
      <w:r w:rsidRPr="001E6494">
        <w:rPr>
          <w:rFonts w:ascii="Verdana" w:hAnsi="Verdana"/>
          <w:sz w:val="24"/>
          <w:szCs w:val="24"/>
        </w:rPr>
        <w:t>ALFRETON TOWN COUNCIL</w:t>
      </w:r>
    </w:p>
    <w:p w14:paraId="6FE4D7B0" w14:textId="434AB797" w:rsidR="002D5A29" w:rsidRPr="008C2DCC" w:rsidRDefault="002D5A29" w:rsidP="002D5A29">
      <w:pPr>
        <w:jc w:val="center"/>
        <w:rPr>
          <w:rFonts w:ascii="Verdana" w:hAnsi="Verdana"/>
          <w:b/>
        </w:rPr>
      </w:pPr>
      <w:r w:rsidRPr="008C2DCC">
        <w:rPr>
          <w:rFonts w:ascii="Verdana" w:hAnsi="Verdana"/>
          <w:b/>
        </w:rPr>
        <w:t>TRANSPARENCY CODE</w:t>
      </w:r>
    </w:p>
    <w:p w14:paraId="20E7F764" w14:textId="77777777" w:rsidR="002D5A29" w:rsidRDefault="002D5A29" w:rsidP="002D5A29">
      <w:pPr>
        <w:spacing w:after="211" w:line="259" w:lineRule="auto"/>
        <w:ind w:left="17"/>
        <w:jc w:val="center"/>
      </w:pPr>
      <w:r>
        <w:rPr>
          <w:b/>
        </w:rPr>
        <w:t xml:space="preserve"> </w:t>
      </w:r>
    </w:p>
    <w:p w14:paraId="7E0A6E2C" w14:textId="77777777" w:rsidR="002D5A29" w:rsidRDefault="002D5A29" w:rsidP="002D5A29">
      <w:pPr>
        <w:spacing w:line="259" w:lineRule="auto"/>
        <w:ind w:left="28"/>
        <w:jc w:val="center"/>
      </w:pPr>
    </w:p>
    <w:p w14:paraId="71318CAF" w14:textId="77777777" w:rsidR="002D5A29" w:rsidRDefault="002D5A29" w:rsidP="002D5A29">
      <w:pPr>
        <w:spacing w:line="259" w:lineRule="auto"/>
        <w:ind w:left="17"/>
        <w:jc w:val="center"/>
      </w:pPr>
    </w:p>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2D5A29" w14:paraId="4337C4E3" w14:textId="77777777" w:rsidTr="00CD586C">
        <w:trPr>
          <w:trHeight w:val="616"/>
        </w:trPr>
        <w:tc>
          <w:tcPr>
            <w:tcW w:w="1272" w:type="dxa"/>
            <w:tcBorders>
              <w:top w:val="single" w:sz="3" w:space="0" w:color="000000"/>
              <w:left w:val="single" w:sz="3" w:space="0" w:color="000000"/>
              <w:bottom w:val="single" w:sz="3" w:space="0" w:color="000000"/>
              <w:right w:val="single" w:sz="3" w:space="0" w:color="000000"/>
            </w:tcBorders>
          </w:tcPr>
          <w:p w14:paraId="14EF1BC6" w14:textId="77777777" w:rsidR="002D5A29" w:rsidRDefault="002D5A29" w:rsidP="00CD586C">
            <w:pPr>
              <w:spacing w:after="16" w:line="259" w:lineRule="auto"/>
              <w:ind w:left="4"/>
            </w:pPr>
            <w:r>
              <w:rPr>
                <w:b/>
              </w:rPr>
              <w:t xml:space="preserve">Issue </w:t>
            </w:r>
          </w:p>
          <w:p w14:paraId="34093AB2" w14:textId="77777777" w:rsidR="002D5A29" w:rsidRDefault="002D5A29" w:rsidP="00CD586C">
            <w:pPr>
              <w:spacing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611D883E" w14:textId="77777777" w:rsidR="002D5A29" w:rsidRDefault="002D5A29" w:rsidP="00CD586C">
            <w:pPr>
              <w:spacing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45009A99" w14:textId="77777777" w:rsidR="002D5A29" w:rsidRDefault="002D5A29" w:rsidP="00CD586C">
            <w:pPr>
              <w:spacing w:line="259" w:lineRule="auto"/>
              <w:ind w:left="4"/>
            </w:pPr>
            <w:r>
              <w:rPr>
                <w:b/>
              </w:rPr>
              <w:t xml:space="preserve">Details of amendments </w:t>
            </w:r>
          </w:p>
        </w:tc>
      </w:tr>
      <w:tr w:rsidR="002D5A29" w14:paraId="035F68A9" w14:textId="77777777" w:rsidTr="00CD586C">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9E170A3" w14:textId="77777777" w:rsidR="002D5A29" w:rsidRDefault="002D5A29" w:rsidP="00CD586C">
            <w:pPr>
              <w:spacing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28AAC89A" w14:textId="77777777" w:rsidR="002D5A29" w:rsidRDefault="002D5A29" w:rsidP="00CD586C">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3ADE75F1" w14:textId="7E3EC128" w:rsidR="002D5A29" w:rsidRDefault="002D5A29" w:rsidP="00CD586C">
            <w:pPr>
              <w:spacing w:line="259" w:lineRule="auto"/>
              <w:ind w:left="4"/>
            </w:pPr>
            <w:r w:rsidRPr="00F049B7">
              <w:rPr>
                <w:rFonts w:ascii="Verdana" w:hAnsi="Verdana"/>
                <w:sz w:val="16"/>
                <w:szCs w:val="16"/>
              </w:rPr>
              <w:t>Adopted by Council 2017</w:t>
            </w:r>
            <w:r>
              <w:rPr>
                <w:rFonts w:ascii="Verdana" w:hAnsi="Verdana"/>
                <w:sz w:val="16"/>
                <w:szCs w:val="16"/>
              </w:rPr>
              <w:t>, 2022, 23</w:t>
            </w:r>
          </w:p>
        </w:tc>
      </w:tr>
      <w:tr w:rsidR="002D5A29" w14:paraId="660DDB53" w14:textId="77777777" w:rsidTr="00CD586C">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4D89021E" w14:textId="77777777" w:rsidR="002D5A29" w:rsidRDefault="002D5A29" w:rsidP="00CD586C">
            <w:pPr>
              <w:spacing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1C2327F2" w14:textId="77777777" w:rsidR="002D5A29" w:rsidRPr="00545FAD" w:rsidRDefault="002D5A29" w:rsidP="00CD586C">
            <w:pPr>
              <w:spacing w:line="259" w:lineRule="auto"/>
              <w:rPr>
                <w:bCs/>
              </w:rPr>
            </w:pPr>
            <w:r>
              <w:rPr>
                <w:bCs/>
              </w:rPr>
              <w:t>19/09</w:t>
            </w:r>
            <w:r w:rsidRPr="00545FAD">
              <w:rPr>
                <w:bCs/>
              </w:rPr>
              <w:t xml:space="preserve">/23 </w:t>
            </w:r>
          </w:p>
        </w:tc>
        <w:tc>
          <w:tcPr>
            <w:tcW w:w="6806" w:type="dxa"/>
            <w:tcBorders>
              <w:top w:val="single" w:sz="3" w:space="0" w:color="000000"/>
              <w:left w:val="single" w:sz="3" w:space="0" w:color="000000"/>
              <w:bottom w:val="single" w:sz="3" w:space="0" w:color="000000"/>
              <w:right w:val="single" w:sz="3" w:space="0" w:color="000000"/>
            </w:tcBorders>
            <w:vAlign w:val="center"/>
          </w:tcPr>
          <w:p w14:paraId="0BC029BC" w14:textId="77777777" w:rsidR="002D5A29" w:rsidRDefault="002D5A29" w:rsidP="00CD586C">
            <w:pPr>
              <w:spacing w:line="259" w:lineRule="auto"/>
              <w:ind w:left="4"/>
            </w:pPr>
            <w:r>
              <w:t>Adopted</w:t>
            </w:r>
            <w:r>
              <w:rPr>
                <w:b/>
              </w:rPr>
              <w:t xml:space="preserve"> </w:t>
            </w:r>
          </w:p>
        </w:tc>
      </w:tr>
    </w:tbl>
    <w:p w14:paraId="2644DB65" w14:textId="65DDE836" w:rsidR="004B112C" w:rsidRDefault="009B62E2">
      <w:pPr>
        <w:rPr>
          <w:rFonts w:ascii="Verdana" w:hAnsi="Verdana"/>
          <w:sz w:val="22"/>
        </w:rPr>
      </w:pPr>
      <w:r w:rsidRPr="004B112C">
        <w:rPr>
          <w:rFonts w:ascii="Verdana" w:hAnsi="Verdana"/>
          <w:sz w:val="22"/>
        </w:rPr>
        <w:t xml:space="preserve"> </w:t>
      </w:r>
    </w:p>
    <w:p w14:paraId="4B7141BF" w14:textId="43B73AB3" w:rsidR="001E6494" w:rsidRDefault="001E6494" w:rsidP="004B112C">
      <w:pPr>
        <w:shd w:val="clear" w:color="auto" w:fill="FFFFFF"/>
        <w:textAlignment w:val="baseline"/>
        <w:rPr>
          <w:rFonts w:ascii="Verdana" w:hAnsi="Verdana" w:cs="Arial"/>
          <w:color w:val="0B0C0C"/>
          <w:sz w:val="22"/>
        </w:rPr>
      </w:pPr>
    </w:p>
    <w:p w14:paraId="607E8894" w14:textId="55B63DE4" w:rsidR="004B112C" w:rsidRDefault="004B112C" w:rsidP="004B112C">
      <w:pPr>
        <w:shd w:val="clear" w:color="auto" w:fill="FFFFFF"/>
        <w:textAlignment w:val="baseline"/>
        <w:rPr>
          <w:rFonts w:ascii="Verdana" w:hAnsi="Verdana" w:cs="Arial"/>
          <w:color w:val="0B0C0C"/>
          <w:sz w:val="22"/>
        </w:rPr>
      </w:pPr>
      <w:r>
        <w:rPr>
          <w:rFonts w:ascii="Verdana" w:hAnsi="Verdana" w:cs="Arial"/>
          <w:color w:val="0B0C0C"/>
          <w:sz w:val="22"/>
        </w:rPr>
        <w:t>Alfreton Town Council has an obligation to the public to be open and transparent about the information held.</w:t>
      </w:r>
    </w:p>
    <w:p w14:paraId="714A89AD" w14:textId="77777777" w:rsidR="004B112C" w:rsidRDefault="004B112C" w:rsidP="004B112C">
      <w:pPr>
        <w:shd w:val="clear" w:color="auto" w:fill="FFFFFF"/>
        <w:textAlignment w:val="baseline"/>
        <w:rPr>
          <w:rFonts w:ascii="Verdana" w:hAnsi="Verdana" w:cs="Arial"/>
          <w:color w:val="0B0C0C"/>
          <w:sz w:val="22"/>
        </w:rPr>
      </w:pPr>
    </w:p>
    <w:p w14:paraId="5390B1F9" w14:textId="77777777" w:rsidR="004B112C" w:rsidRDefault="004B112C" w:rsidP="004B112C">
      <w:pPr>
        <w:shd w:val="clear" w:color="auto" w:fill="FFFFFF"/>
        <w:textAlignment w:val="baseline"/>
        <w:rPr>
          <w:rFonts w:ascii="Verdana" w:hAnsi="Verdana" w:cs="Arial"/>
          <w:color w:val="0B0C0C"/>
          <w:sz w:val="22"/>
        </w:rPr>
      </w:pPr>
      <w:r w:rsidRPr="004B112C">
        <w:rPr>
          <w:rFonts w:ascii="Verdana" w:hAnsi="Verdana" w:cs="Arial"/>
          <w:color w:val="0B0C0C"/>
          <w:sz w:val="22"/>
        </w:rPr>
        <w:t>The</w:t>
      </w:r>
      <w:r w:rsidRPr="004B112C">
        <w:rPr>
          <w:rFonts w:ascii="Verdana" w:hAnsi="Verdana"/>
          <w:color w:val="0B0C0C"/>
          <w:sz w:val="22"/>
        </w:rPr>
        <w:t> </w:t>
      </w:r>
      <w:hyperlink r:id="rId13" w:tooltip="Local government transparency code" w:history="1">
        <w:r w:rsidRPr="004B112C">
          <w:rPr>
            <w:rFonts w:ascii="Verdana" w:hAnsi="Verdana"/>
            <w:color w:val="0B0C0C"/>
            <w:sz w:val="22"/>
          </w:rPr>
          <w:t>local government transparency code</w:t>
        </w:r>
      </w:hyperlink>
      <w:r w:rsidRPr="004B112C">
        <w:rPr>
          <w:rFonts w:ascii="Verdana" w:hAnsi="Verdana"/>
          <w:color w:val="0B0C0C"/>
          <w:sz w:val="22"/>
        </w:rPr>
        <w:t> </w:t>
      </w:r>
      <w:r w:rsidRPr="004B112C">
        <w:rPr>
          <w:rFonts w:ascii="Verdana" w:hAnsi="Verdana" w:cs="Arial"/>
          <w:color w:val="0B0C0C"/>
          <w:sz w:val="22"/>
        </w:rPr>
        <w:t>has been introduced to increase democratic accountability and make it easier for local people to contribute to the local decision making process.</w:t>
      </w:r>
    </w:p>
    <w:p w14:paraId="71088EAC" w14:textId="77777777" w:rsidR="004B112C" w:rsidRDefault="004B112C" w:rsidP="004B112C">
      <w:pPr>
        <w:shd w:val="clear" w:color="auto" w:fill="FFFFFF"/>
        <w:textAlignment w:val="baseline"/>
        <w:rPr>
          <w:rFonts w:ascii="Verdana" w:hAnsi="Verdana" w:cs="Arial"/>
          <w:color w:val="0B0C0C"/>
          <w:sz w:val="22"/>
        </w:rPr>
      </w:pPr>
    </w:p>
    <w:p w14:paraId="705647EE" w14:textId="77777777" w:rsidR="004B112C" w:rsidRPr="004B112C" w:rsidRDefault="004B112C" w:rsidP="004B112C">
      <w:pPr>
        <w:shd w:val="clear" w:color="auto" w:fill="FFFFFF"/>
        <w:textAlignment w:val="baseline"/>
        <w:rPr>
          <w:rFonts w:ascii="Verdana" w:hAnsi="Verdana" w:cs="Arial"/>
          <w:color w:val="0B0C0C"/>
          <w:sz w:val="22"/>
        </w:rPr>
      </w:pPr>
      <w:r w:rsidRPr="004B112C">
        <w:rPr>
          <w:rFonts w:ascii="Verdana" w:hAnsi="Verdana" w:cs="Arial"/>
          <w:color w:val="0B0C0C"/>
          <w:sz w:val="22"/>
        </w:rPr>
        <w:t xml:space="preserve">In line with the </w:t>
      </w:r>
      <w:hyperlink r:id="rId14" w:history="1">
        <w:r w:rsidRPr="004B112C">
          <w:rPr>
            <w:rFonts w:ascii="Verdana" w:hAnsi="Verdana" w:cs="Arial"/>
            <w:color w:val="0B0C0C"/>
            <w:sz w:val="22"/>
          </w:rPr>
          <w:t>Department for Communities and Local Government</w:t>
        </w:r>
      </w:hyperlink>
      <w:r w:rsidRPr="004B112C">
        <w:rPr>
          <w:rFonts w:ascii="Verdana" w:hAnsi="Verdana" w:cs="Arial"/>
          <w:color w:val="0B0C0C"/>
          <w:sz w:val="22"/>
        </w:rPr>
        <w:t xml:space="preserve">, </w:t>
      </w:r>
      <w:hyperlink r:id="rId15" w:history="1">
        <w:r w:rsidRPr="004B112C">
          <w:rPr>
            <w:rFonts w:ascii="Verdana" w:hAnsi="Verdana"/>
            <w:color w:val="0B0C0C"/>
            <w:sz w:val="22"/>
          </w:rPr>
          <w:t>Local council transparency and accountability</w:t>
        </w:r>
      </w:hyperlink>
      <w:r w:rsidRPr="004B112C">
        <w:rPr>
          <w:rFonts w:ascii="Verdana" w:hAnsi="Verdana"/>
          <w:sz w:val="22"/>
        </w:rPr>
        <w:t> </w:t>
      </w:r>
      <w:r w:rsidRPr="004B112C">
        <w:rPr>
          <w:rFonts w:ascii="Verdana" w:hAnsi="Verdana" w:cs="Arial"/>
          <w:color w:val="0B0C0C"/>
          <w:sz w:val="22"/>
        </w:rPr>
        <w:t>and</w:t>
      </w:r>
      <w:r w:rsidRPr="004B112C">
        <w:rPr>
          <w:rFonts w:ascii="Verdana" w:hAnsi="Verdana"/>
          <w:sz w:val="22"/>
        </w:rPr>
        <w:t> </w:t>
      </w:r>
      <w:hyperlink r:id="rId16" w:history="1">
        <w:r w:rsidRPr="004B112C">
          <w:rPr>
            <w:rFonts w:ascii="Verdana" w:hAnsi="Verdana"/>
            <w:color w:val="0B0C0C"/>
            <w:sz w:val="22"/>
          </w:rPr>
          <w:t>Transparency</w:t>
        </w:r>
      </w:hyperlink>
      <w:r w:rsidRPr="004B112C">
        <w:rPr>
          <w:rFonts w:ascii="Verdana" w:hAnsi="Verdana" w:cs="Arial"/>
          <w:color w:val="0B0C0C"/>
          <w:sz w:val="22"/>
        </w:rPr>
        <w:t xml:space="preserve"> code published 27 February 2015 this document sets out the minimum data that local authorities should be publishing the  frequency it should be published and how it should be published.</w:t>
      </w:r>
    </w:p>
    <w:p w14:paraId="39126195" w14:textId="77777777" w:rsidR="004B112C" w:rsidRDefault="004B112C" w:rsidP="008C2DCC">
      <w:pPr>
        <w:pBdr>
          <w:bottom w:val="single" w:sz="4" w:space="1" w:color="auto"/>
        </w:pBdr>
        <w:rPr>
          <w:rFonts w:ascii="Verdana" w:hAnsi="Verdana"/>
          <w:sz w:val="22"/>
        </w:rPr>
      </w:pPr>
    </w:p>
    <w:p w14:paraId="11366F2B" w14:textId="77777777" w:rsidR="008C2DCC" w:rsidRDefault="008C2DCC" w:rsidP="004B112C">
      <w:pPr>
        <w:rPr>
          <w:rFonts w:ascii="Verdana" w:hAnsi="Verdana"/>
          <w:sz w:val="22"/>
        </w:rPr>
      </w:pPr>
    </w:p>
    <w:p w14:paraId="70537685" w14:textId="77777777" w:rsidR="004B112C" w:rsidRPr="004B112C" w:rsidRDefault="008C56D3" w:rsidP="004B112C">
      <w:pPr>
        <w:rPr>
          <w:rFonts w:ascii="Verdana" w:hAnsi="Verdana"/>
          <w:sz w:val="22"/>
          <w:u w:val="single"/>
        </w:rPr>
      </w:pPr>
      <w:r>
        <w:rPr>
          <w:rFonts w:ascii="Verdana" w:hAnsi="Verdana"/>
          <w:sz w:val="22"/>
          <w:u w:val="single"/>
        </w:rPr>
        <w:t xml:space="preserve"> </w:t>
      </w:r>
      <w:r w:rsidR="004B112C" w:rsidRPr="004B112C">
        <w:rPr>
          <w:rFonts w:ascii="Verdana" w:hAnsi="Verdana"/>
          <w:sz w:val="22"/>
          <w:u w:val="single"/>
        </w:rPr>
        <w:t xml:space="preserve">Information which must be published </w:t>
      </w:r>
    </w:p>
    <w:p w14:paraId="4CF6CB78" w14:textId="77777777" w:rsidR="004B112C" w:rsidRDefault="008C56D3" w:rsidP="008C56D3">
      <w:pPr>
        <w:ind w:left="360"/>
        <w:rPr>
          <w:rFonts w:ascii="Verdana" w:hAnsi="Verdana"/>
          <w:sz w:val="22"/>
        </w:rPr>
      </w:pPr>
      <w:r>
        <w:rPr>
          <w:rFonts w:ascii="Verdana" w:hAnsi="Verdana"/>
          <w:sz w:val="22"/>
        </w:rPr>
        <w:t xml:space="preserve">2.1 </w:t>
      </w:r>
      <w:r w:rsidR="004B112C" w:rsidRPr="004B112C">
        <w:rPr>
          <w:rFonts w:ascii="Verdana" w:hAnsi="Verdana"/>
          <w:sz w:val="22"/>
        </w:rPr>
        <w:t>Information to be pub</w:t>
      </w:r>
      <w:r w:rsidR="004B112C">
        <w:rPr>
          <w:rFonts w:ascii="Verdana" w:hAnsi="Verdana"/>
          <w:sz w:val="22"/>
        </w:rPr>
        <w:t xml:space="preserve">lished quarterly </w:t>
      </w:r>
    </w:p>
    <w:p w14:paraId="32E89DE0" w14:textId="77777777" w:rsidR="004B112C" w:rsidRPr="008C56D3" w:rsidRDefault="004B112C" w:rsidP="008C56D3">
      <w:pPr>
        <w:numPr>
          <w:ilvl w:val="0"/>
          <w:numId w:val="16"/>
        </w:numPr>
        <w:ind w:left="720"/>
        <w:rPr>
          <w:rFonts w:ascii="Verdana" w:hAnsi="Verdana"/>
          <w:sz w:val="22"/>
        </w:rPr>
      </w:pPr>
      <w:r w:rsidRPr="008C56D3">
        <w:rPr>
          <w:rFonts w:ascii="Verdana" w:hAnsi="Verdana"/>
          <w:sz w:val="22"/>
        </w:rPr>
        <w:t xml:space="preserve">expenditure exceeding £500 (see paragraphs 28 and 29) </w:t>
      </w:r>
    </w:p>
    <w:p w14:paraId="20FD67B4" w14:textId="77777777" w:rsidR="004B112C" w:rsidRPr="008C56D3" w:rsidRDefault="004B112C" w:rsidP="008C56D3">
      <w:pPr>
        <w:numPr>
          <w:ilvl w:val="0"/>
          <w:numId w:val="15"/>
        </w:numPr>
        <w:ind w:left="786" w:hanging="426"/>
        <w:rPr>
          <w:rFonts w:ascii="Verdana" w:hAnsi="Verdana"/>
          <w:sz w:val="22"/>
        </w:rPr>
      </w:pPr>
      <w:r w:rsidRPr="008C56D3">
        <w:rPr>
          <w:rFonts w:ascii="Verdana" w:hAnsi="Verdana"/>
          <w:sz w:val="22"/>
        </w:rPr>
        <w:t xml:space="preserve">Government Procurement Card transactions (paragraph 30), and </w:t>
      </w:r>
    </w:p>
    <w:p w14:paraId="34802940" w14:textId="77777777" w:rsidR="004B112C" w:rsidRPr="008C56D3" w:rsidRDefault="004B112C" w:rsidP="008C56D3">
      <w:pPr>
        <w:numPr>
          <w:ilvl w:val="0"/>
          <w:numId w:val="15"/>
        </w:numPr>
        <w:ind w:left="786" w:hanging="426"/>
        <w:rPr>
          <w:rFonts w:ascii="Verdana" w:hAnsi="Verdana"/>
          <w:sz w:val="22"/>
        </w:rPr>
      </w:pPr>
      <w:r w:rsidRPr="008C56D3">
        <w:rPr>
          <w:rFonts w:ascii="Verdana" w:hAnsi="Verdana"/>
          <w:sz w:val="22"/>
        </w:rPr>
        <w:t>procurement information (see paragraphs 31 and 32).</w:t>
      </w:r>
    </w:p>
    <w:p w14:paraId="33BB5351" w14:textId="77777777" w:rsidR="004B112C" w:rsidRDefault="004B112C" w:rsidP="004B112C">
      <w:pPr>
        <w:rPr>
          <w:rFonts w:ascii="Verdana" w:hAnsi="Verdana"/>
          <w:sz w:val="22"/>
        </w:rPr>
      </w:pPr>
    </w:p>
    <w:p w14:paraId="347826D0" w14:textId="77777777" w:rsidR="004B112C" w:rsidRDefault="004B112C" w:rsidP="008C56D3">
      <w:pPr>
        <w:ind w:left="360"/>
        <w:rPr>
          <w:rFonts w:ascii="Verdana" w:hAnsi="Verdana"/>
          <w:sz w:val="22"/>
        </w:rPr>
      </w:pPr>
      <w:r w:rsidRPr="004B112C">
        <w:rPr>
          <w:rFonts w:ascii="Verdana" w:hAnsi="Verdana"/>
          <w:sz w:val="22"/>
        </w:rPr>
        <w:t xml:space="preserve">The data and information referred to in this Part (2.1) must be: </w:t>
      </w:r>
    </w:p>
    <w:p w14:paraId="0075D1FB" w14:textId="77777777" w:rsidR="004B112C" w:rsidRDefault="004B112C" w:rsidP="008C56D3">
      <w:pPr>
        <w:numPr>
          <w:ilvl w:val="0"/>
          <w:numId w:val="14"/>
        </w:numPr>
        <w:ind w:left="720"/>
        <w:rPr>
          <w:rFonts w:ascii="Verdana" w:hAnsi="Verdana"/>
          <w:sz w:val="22"/>
        </w:rPr>
      </w:pPr>
      <w:r w:rsidRPr="004B112C">
        <w:rPr>
          <w:rFonts w:ascii="Verdana" w:hAnsi="Verdana"/>
          <w:sz w:val="22"/>
        </w:rPr>
        <w:t>first published within a period of three months from the date on which the local authority last published that data under the Local Go</w:t>
      </w:r>
      <w:r>
        <w:rPr>
          <w:rFonts w:ascii="Verdana" w:hAnsi="Verdana"/>
          <w:sz w:val="22"/>
        </w:rPr>
        <w:t>vernment Transparency Code 2014</w:t>
      </w:r>
      <w:r w:rsidRPr="004B112C">
        <w:rPr>
          <w:rFonts w:ascii="Verdana" w:hAnsi="Verdana"/>
          <w:sz w:val="22"/>
        </w:rPr>
        <w:t xml:space="preserve"> and not later than one month after the quarter to which the data and information is applicable </w:t>
      </w:r>
    </w:p>
    <w:p w14:paraId="43054A8C" w14:textId="77777777" w:rsidR="004B112C" w:rsidRDefault="004B112C" w:rsidP="008C56D3">
      <w:pPr>
        <w:numPr>
          <w:ilvl w:val="0"/>
          <w:numId w:val="14"/>
        </w:numPr>
        <w:ind w:left="720"/>
        <w:rPr>
          <w:rFonts w:ascii="Verdana" w:hAnsi="Verdana"/>
          <w:sz w:val="22"/>
        </w:rPr>
      </w:pPr>
      <w:r w:rsidRPr="004B112C">
        <w:rPr>
          <w:rFonts w:ascii="Verdana" w:hAnsi="Verdana"/>
          <w:sz w:val="22"/>
        </w:rPr>
        <w:t xml:space="preserve">published quarterly thereafter and on each occasion not later than one month after the quarter to which the data and information is applicable. </w:t>
      </w:r>
    </w:p>
    <w:p w14:paraId="3D09B7D3" w14:textId="77777777" w:rsidR="004B112C" w:rsidRDefault="004B112C" w:rsidP="004B112C">
      <w:pPr>
        <w:rPr>
          <w:rFonts w:ascii="Verdana" w:hAnsi="Verdana"/>
          <w:sz w:val="22"/>
        </w:rPr>
      </w:pPr>
    </w:p>
    <w:p w14:paraId="38DDEC39" w14:textId="77777777" w:rsidR="004B112C" w:rsidRPr="008C56D3" w:rsidRDefault="004B112C" w:rsidP="008C56D3">
      <w:pPr>
        <w:ind w:left="360"/>
        <w:rPr>
          <w:rFonts w:ascii="Verdana" w:hAnsi="Verdana"/>
          <w:sz w:val="22"/>
          <w:u w:val="single"/>
        </w:rPr>
      </w:pPr>
      <w:r w:rsidRPr="008C56D3">
        <w:rPr>
          <w:rFonts w:ascii="Verdana" w:hAnsi="Verdana"/>
          <w:sz w:val="22"/>
          <w:u w:val="single"/>
        </w:rPr>
        <w:t xml:space="preserve">Expenditure exceeding £500 </w:t>
      </w:r>
    </w:p>
    <w:p w14:paraId="34BC26FE" w14:textId="77777777" w:rsidR="004B112C" w:rsidRDefault="004B112C" w:rsidP="008C56D3">
      <w:pPr>
        <w:ind w:left="720"/>
        <w:rPr>
          <w:rFonts w:ascii="Verdana" w:hAnsi="Verdana"/>
          <w:sz w:val="22"/>
        </w:rPr>
      </w:pPr>
      <w:r w:rsidRPr="004B112C">
        <w:rPr>
          <w:rFonts w:ascii="Verdana" w:hAnsi="Verdana"/>
          <w:sz w:val="22"/>
        </w:rPr>
        <w:t xml:space="preserve">Local authorities must publish details of each individual item of expenditure that exceeds £500. </w:t>
      </w:r>
    </w:p>
    <w:p w14:paraId="3130A169" w14:textId="77777777" w:rsidR="008C56D3" w:rsidRDefault="004B112C" w:rsidP="008C56D3">
      <w:pPr>
        <w:ind w:left="720"/>
        <w:rPr>
          <w:rFonts w:ascii="Verdana" w:hAnsi="Verdana"/>
          <w:sz w:val="22"/>
        </w:rPr>
      </w:pPr>
      <w:r w:rsidRPr="004B112C">
        <w:rPr>
          <w:rFonts w:ascii="Verdana" w:hAnsi="Verdana"/>
          <w:sz w:val="22"/>
        </w:rPr>
        <w:lastRenderedPageBreak/>
        <w:sym w:font="Symbol" w:char="F0B7"/>
      </w:r>
      <w:r w:rsidRPr="004B112C">
        <w:rPr>
          <w:rFonts w:ascii="Verdana" w:hAnsi="Verdana"/>
          <w:sz w:val="22"/>
        </w:rPr>
        <w:t xml:space="preserve"> individual invoices </w:t>
      </w:r>
    </w:p>
    <w:p w14:paraId="31AD0965"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grant payments </w:t>
      </w:r>
    </w:p>
    <w:p w14:paraId="564E2FC5"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expense payments </w:t>
      </w:r>
    </w:p>
    <w:p w14:paraId="108B8EBB"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payments for goods and services </w:t>
      </w:r>
    </w:p>
    <w:p w14:paraId="54EF6091"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grants </w:t>
      </w:r>
    </w:p>
    <w:p w14:paraId="7E588333"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grant in aid </w:t>
      </w:r>
    </w:p>
    <w:p w14:paraId="24AE2447"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rent </w:t>
      </w:r>
    </w:p>
    <w:p w14:paraId="47B28F3C"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credit notes over £500, and </w:t>
      </w:r>
    </w:p>
    <w:p w14:paraId="282DC9AA"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transactions with other public bodies. </w:t>
      </w:r>
    </w:p>
    <w:p w14:paraId="7F9E4290" w14:textId="77777777" w:rsidR="008C56D3" w:rsidRDefault="008C56D3" w:rsidP="008C56D3">
      <w:pPr>
        <w:ind w:left="720"/>
        <w:rPr>
          <w:rFonts w:ascii="Verdana" w:hAnsi="Verdana"/>
          <w:sz w:val="22"/>
        </w:rPr>
      </w:pPr>
      <w:r>
        <w:rPr>
          <w:rFonts w:ascii="Verdana" w:hAnsi="Verdana"/>
          <w:sz w:val="22"/>
        </w:rPr>
        <w:br w:type="page"/>
      </w:r>
      <w:r>
        <w:rPr>
          <w:rFonts w:ascii="Verdana" w:hAnsi="Verdana"/>
          <w:sz w:val="22"/>
        </w:rPr>
        <w:lastRenderedPageBreak/>
        <w:t>T</w:t>
      </w:r>
      <w:r w:rsidR="004B112C" w:rsidRPr="004B112C">
        <w:rPr>
          <w:rFonts w:ascii="Verdana" w:hAnsi="Verdana"/>
          <w:sz w:val="22"/>
        </w:rPr>
        <w:t xml:space="preserve">he following information must be published: </w:t>
      </w:r>
    </w:p>
    <w:p w14:paraId="756C9D46"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date the expenditure was incurred </w:t>
      </w:r>
    </w:p>
    <w:p w14:paraId="62DA7625"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local authority department which incurred the expenditure </w:t>
      </w:r>
    </w:p>
    <w:p w14:paraId="71F3630C"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beneficiary </w:t>
      </w:r>
    </w:p>
    <w:p w14:paraId="212BBBFF"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summary of t</w:t>
      </w:r>
      <w:r w:rsidR="008C56D3">
        <w:rPr>
          <w:rFonts w:ascii="Verdana" w:hAnsi="Verdana"/>
          <w:sz w:val="22"/>
        </w:rPr>
        <w:t>he purpose of the expenditure</w:t>
      </w:r>
    </w:p>
    <w:p w14:paraId="25D7EA33" w14:textId="77777777" w:rsidR="008C56D3" w:rsidRDefault="004B112C" w:rsidP="008C56D3">
      <w:pPr>
        <w:ind w:left="720"/>
        <w:rPr>
          <w:rFonts w:ascii="Verdana" w:hAnsi="Verdana"/>
          <w:sz w:val="22"/>
        </w:rPr>
      </w:pPr>
      <w:r w:rsidRPr="004B112C">
        <w:rPr>
          <w:rFonts w:ascii="Verdana" w:hAnsi="Verdana"/>
          <w:sz w:val="22"/>
        </w:rPr>
        <w:sym w:font="Symbol" w:char="F0B7"/>
      </w:r>
      <w:r w:rsidR="008C56D3">
        <w:rPr>
          <w:rFonts w:ascii="Verdana" w:hAnsi="Verdana"/>
          <w:sz w:val="22"/>
        </w:rPr>
        <w:t xml:space="preserve"> amount</w:t>
      </w:r>
    </w:p>
    <w:p w14:paraId="674061B8" w14:textId="77777777" w:rsidR="008C56D3" w:rsidRDefault="004B112C" w:rsidP="008C56D3">
      <w:pPr>
        <w:ind w:left="720"/>
        <w:rPr>
          <w:rFonts w:ascii="Verdana" w:hAnsi="Verdana"/>
          <w:sz w:val="22"/>
        </w:rPr>
      </w:pPr>
      <w:r w:rsidRPr="004B112C">
        <w:rPr>
          <w:rFonts w:ascii="Verdana" w:hAnsi="Verdana"/>
          <w:sz w:val="22"/>
        </w:rPr>
        <w:sym w:font="Symbol" w:char="F0B7"/>
      </w:r>
      <w:r w:rsidRPr="004B112C">
        <w:rPr>
          <w:rFonts w:ascii="Verdana" w:hAnsi="Verdana"/>
          <w:sz w:val="22"/>
        </w:rPr>
        <w:t xml:space="preserve"> Value Added Tax that cannot be recovered, and </w:t>
      </w:r>
    </w:p>
    <w:p w14:paraId="2BF1BCB7" w14:textId="77777777" w:rsidR="004B112C" w:rsidRPr="004B112C" w:rsidRDefault="004B112C" w:rsidP="008C56D3">
      <w:pPr>
        <w:ind w:left="720"/>
        <w:rPr>
          <w:rFonts w:ascii="Verdana" w:hAnsi="Verdana" w:cs="Arial"/>
          <w:sz w:val="22"/>
        </w:rPr>
      </w:pPr>
      <w:r w:rsidRPr="004B112C">
        <w:rPr>
          <w:rFonts w:ascii="Verdana" w:hAnsi="Verdana"/>
          <w:sz w:val="22"/>
        </w:rPr>
        <w:sym w:font="Symbol" w:char="F0B7"/>
      </w:r>
      <w:r w:rsidRPr="004B112C">
        <w:rPr>
          <w:rFonts w:ascii="Verdana" w:hAnsi="Verdana"/>
          <w:sz w:val="22"/>
        </w:rPr>
        <w:t xml:space="preserve"> merchant category (eg. computers, software etc).</w:t>
      </w:r>
    </w:p>
    <w:p w14:paraId="73E18F65" w14:textId="77777777" w:rsidR="004B112C" w:rsidRPr="004B112C" w:rsidRDefault="004B112C" w:rsidP="008C2DCC">
      <w:pPr>
        <w:pBdr>
          <w:bottom w:val="single" w:sz="4" w:space="1" w:color="auto"/>
        </w:pBdr>
        <w:rPr>
          <w:rFonts w:ascii="Verdana" w:hAnsi="Verdana" w:cs="Arial"/>
          <w:sz w:val="22"/>
        </w:rPr>
      </w:pPr>
    </w:p>
    <w:p w14:paraId="2F470A82" w14:textId="77777777" w:rsidR="004B112C" w:rsidRPr="004B112C" w:rsidRDefault="004B112C" w:rsidP="004B112C">
      <w:pPr>
        <w:rPr>
          <w:rFonts w:ascii="Verdana" w:hAnsi="Verdana" w:cs="Arial"/>
          <w:b/>
          <w:sz w:val="22"/>
        </w:rPr>
      </w:pPr>
    </w:p>
    <w:p w14:paraId="536AD798" w14:textId="77777777" w:rsidR="004B112C" w:rsidRPr="008C56D3" w:rsidRDefault="008C56D3" w:rsidP="004B112C">
      <w:pPr>
        <w:rPr>
          <w:rFonts w:ascii="Verdana" w:hAnsi="Verdana" w:cs="Arial"/>
          <w:sz w:val="22"/>
          <w:u w:val="single"/>
        </w:rPr>
      </w:pPr>
      <w:r w:rsidRPr="008C56D3">
        <w:rPr>
          <w:rFonts w:ascii="Verdana" w:hAnsi="Verdana" w:cs="Arial"/>
          <w:sz w:val="22"/>
          <w:u w:val="single"/>
        </w:rPr>
        <w:t>Procurement Information</w:t>
      </w:r>
    </w:p>
    <w:p w14:paraId="44DDCF2A" w14:textId="77777777" w:rsidR="000518B8" w:rsidRDefault="008C56D3" w:rsidP="008C56D3">
      <w:pPr>
        <w:rPr>
          <w:rFonts w:ascii="Verdana" w:hAnsi="Verdana"/>
          <w:sz w:val="22"/>
        </w:rPr>
      </w:pPr>
      <w:r w:rsidRPr="008C56D3">
        <w:rPr>
          <w:rFonts w:ascii="Verdana" w:hAnsi="Verdana"/>
          <w:sz w:val="22"/>
        </w:rPr>
        <w:t xml:space="preserve">Local authorities must publish details of every invitation to tender for contracts to provide goods and/or services with a value that exceeds £5,000. </w:t>
      </w:r>
    </w:p>
    <w:p w14:paraId="0C615C25" w14:textId="77777777" w:rsidR="004B112C" w:rsidRPr="008C56D3" w:rsidRDefault="008C56D3" w:rsidP="000518B8">
      <w:pPr>
        <w:numPr>
          <w:ilvl w:val="0"/>
          <w:numId w:val="18"/>
        </w:numPr>
        <w:rPr>
          <w:rFonts w:ascii="Verdana" w:hAnsi="Verdana"/>
          <w:sz w:val="22"/>
        </w:rPr>
      </w:pPr>
      <w:r w:rsidRPr="008C56D3">
        <w:rPr>
          <w:rFonts w:ascii="Verdana" w:hAnsi="Verdana"/>
          <w:sz w:val="22"/>
        </w:rPr>
        <w:t>Refer to the full code for further details.</w:t>
      </w:r>
    </w:p>
    <w:p w14:paraId="0E18C1C6" w14:textId="77777777" w:rsidR="004B112C" w:rsidRDefault="004B112C" w:rsidP="008C2DCC">
      <w:pPr>
        <w:pBdr>
          <w:bottom w:val="single" w:sz="4" w:space="1" w:color="auto"/>
        </w:pBdr>
        <w:rPr>
          <w:rFonts w:ascii="Verdana" w:hAnsi="Verdana"/>
          <w:sz w:val="22"/>
        </w:rPr>
      </w:pPr>
    </w:p>
    <w:p w14:paraId="66CE8399" w14:textId="77777777" w:rsidR="008C2DCC" w:rsidRPr="004B112C" w:rsidRDefault="008C2DCC" w:rsidP="004B112C">
      <w:pPr>
        <w:rPr>
          <w:rFonts w:ascii="Verdana" w:hAnsi="Verdana"/>
          <w:sz w:val="22"/>
        </w:rPr>
      </w:pPr>
    </w:p>
    <w:p w14:paraId="1B9B670A" w14:textId="77777777" w:rsidR="004B112C" w:rsidRPr="008C56D3" w:rsidRDefault="008C56D3" w:rsidP="004B112C">
      <w:pPr>
        <w:rPr>
          <w:rFonts w:ascii="Verdana" w:hAnsi="Verdana"/>
          <w:sz w:val="22"/>
          <w:u w:val="single"/>
        </w:rPr>
      </w:pPr>
      <w:r w:rsidRPr="008C56D3">
        <w:rPr>
          <w:rFonts w:ascii="Verdana" w:hAnsi="Verdana"/>
          <w:sz w:val="22"/>
          <w:u w:val="single"/>
        </w:rPr>
        <w:t>Part 2.2 Information to be published annually</w:t>
      </w:r>
    </w:p>
    <w:p w14:paraId="33CCB809" w14:textId="77777777" w:rsidR="009B62E2" w:rsidRDefault="008C56D3" w:rsidP="008C56D3">
      <w:pPr>
        <w:ind w:left="720"/>
        <w:rPr>
          <w:rFonts w:ascii="Verdana" w:hAnsi="Verdana"/>
          <w:sz w:val="22"/>
        </w:rPr>
      </w:pPr>
      <w:r>
        <w:rPr>
          <w:rFonts w:ascii="Verdana" w:hAnsi="Verdana"/>
          <w:sz w:val="22"/>
        </w:rPr>
        <w:t>Data covered by this section</w:t>
      </w:r>
    </w:p>
    <w:p w14:paraId="4FBCFD19" w14:textId="77777777" w:rsidR="008C56D3" w:rsidRPr="000518B8" w:rsidRDefault="008C56D3" w:rsidP="000518B8">
      <w:pPr>
        <w:numPr>
          <w:ilvl w:val="0"/>
          <w:numId w:val="17"/>
        </w:numPr>
        <w:rPr>
          <w:rFonts w:ascii="Verdana" w:hAnsi="Verdana"/>
          <w:sz w:val="22"/>
        </w:rPr>
      </w:pPr>
      <w:r w:rsidRPr="000518B8">
        <w:rPr>
          <w:rFonts w:ascii="Verdana" w:hAnsi="Verdana"/>
          <w:sz w:val="22"/>
        </w:rPr>
        <w:t xml:space="preserve">local authority land </w:t>
      </w:r>
    </w:p>
    <w:p w14:paraId="20467B08" w14:textId="77777777" w:rsidR="008C56D3" w:rsidRPr="000518B8" w:rsidRDefault="008C56D3" w:rsidP="000518B8">
      <w:pPr>
        <w:numPr>
          <w:ilvl w:val="0"/>
          <w:numId w:val="17"/>
        </w:numPr>
        <w:rPr>
          <w:rFonts w:ascii="Verdana" w:hAnsi="Verdana"/>
          <w:sz w:val="22"/>
        </w:rPr>
      </w:pPr>
      <w:r w:rsidRPr="000518B8">
        <w:rPr>
          <w:rFonts w:ascii="Verdana" w:hAnsi="Verdana"/>
          <w:sz w:val="22"/>
        </w:rPr>
        <w:t xml:space="preserve">social housing assets </w:t>
      </w:r>
    </w:p>
    <w:p w14:paraId="4AEA984E" w14:textId="77777777" w:rsidR="008C56D3" w:rsidRPr="000518B8" w:rsidRDefault="008C56D3" w:rsidP="000518B8">
      <w:pPr>
        <w:numPr>
          <w:ilvl w:val="0"/>
          <w:numId w:val="17"/>
        </w:numPr>
        <w:rPr>
          <w:rFonts w:ascii="Verdana" w:hAnsi="Verdana"/>
          <w:sz w:val="22"/>
        </w:rPr>
      </w:pPr>
      <w:r w:rsidRPr="000518B8">
        <w:rPr>
          <w:rFonts w:ascii="Verdana" w:hAnsi="Verdana"/>
          <w:sz w:val="22"/>
        </w:rPr>
        <w:t xml:space="preserve">grants to voluntary, community and social enterprise organisations </w:t>
      </w:r>
    </w:p>
    <w:p w14:paraId="24E1BD3B" w14:textId="77777777" w:rsidR="000518B8" w:rsidRPr="000518B8" w:rsidRDefault="000518B8" w:rsidP="000518B8">
      <w:pPr>
        <w:numPr>
          <w:ilvl w:val="0"/>
          <w:numId w:val="17"/>
        </w:numPr>
        <w:rPr>
          <w:rFonts w:ascii="Verdana" w:hAnsi="Verdana"/>
          <w:sz w:val="22"/>
        </w:rPr>
      </w:pPr>
      <w:r w:rsidRPr="000518B8">
        <w:rPr>
          <w:rFonts w:ascii="Verdana" w:hAnsi="Verdana"/>
          <w:sz w:val="22"/>
        </w:rPr>
        <w:t xml:space="preserve">organisation chart </w:t>
      </w:r>
    </w:p>
    <w:p w14:paraId="0325528F" w14:textId="77777777" w:rsidR="000518B8" w:rsidRPr="000518B8" w:rsidRDefault="008C56D3" w:rsidP="000518B8">
      <w:pPr>
        <w:numPr>
          <w:ilvl w:val="0"/>
          <w:numId w:val="17"/>
        </w:numPr>
        <w:rPr>
          <w:rFonts w:ascii="Verdana" w:hAnsi="Verdana"/>
          <w:sz w:val="22"/>
        </w:rPr>
      </w:pPr>
      <w:r w:rsidRPr="000518B8">
        <w:rPr>
          <w:rFonts w:ascii="Verdana" w:hAnsi="Verdana"/>
          <w:sz w:val="22"/>
        </w:rPr>
        <w:t xml:space="preserve">trade union facility time </w:t>
      </w:r>
    </w:p>
    <w:p w14:paraId="49DCEE6C" w14:textId="77777777" w:rsidR="000518B8" w:rsidRPr="000518B8" w:rsidRDefault="008C56D3" w:rsidP="000518B8">
      <w:pPr>
        <w:numPr>
          <w:ilvl w:val="0"/>
          <w:numId w:val="17"/>
        </w:numPr>
        <w:rPr>
          <w:rFonts w:ascii="Verdana" w:hAnsi="Verdana"/>
          <w:sz w:val="22"/>
        </w:rPr>
      </w:pPr>
      <w:r w:rsidRPr="000518B8">
        <w:rPr>
          <w:rFonts w:ascii="Verdana" w:hAnsi="Verdana"/>
          <w:sz w:val="22"/>
        </w:rPr>
        <w:t xml:space="preserve">parking account </w:t>
      </w:r>
    </w:p>
    <w:p w14:paraId="3BB38119" w14:textId="77777777" w:rsidR="000518B8" w:rsidRPr="000518B8" w:rsidRDefault="008C56D3" w:rsidP="000518B8">
      <w:pPr>
        <w:numPr>
          <w:ilvl w:val="0"/>
          <w:numId w:val="17"/>
        </w:numPr>
        <w:rPr>
          <w:rFonts w:ascii="Verdana" w:hAnsi="Verdana"/>
          <w:sz w:val="22"/>
        </w:rPr>
      </w:pPr>
      <w:r w:rsidRPr="000518B8">
        <w:rPr>
          <w:rFonts w:ascii="Verdana" w:hAnsi="Verdana"/>
          <w:sz w:val="22"/>
        </w:rPr>
        <w:t xml:space="preserve">parking spaces </w:t>
      </w:r>
    </w:p>
    <w:p w14:paraId="706C8115" w14:textId="77777777" w:rsidR="000518B8" w:rsidRPr="000518B8" w:rsidRDefault="008C56D3" w:rsidP="000518B8">
      <w:pPr>
        <w:numPr>
          <w:ilvl w:val="0"/>
          <w:numId w:val="17"/>
        </w:numPr>
        <w:rPr>
          <w:rFonts w:ascii="Verdana" w:hAnsi="Verdana"/>
          <w:sz w:val="22"/>
        </w:rPr>
      </w:pPr>
      <w:r w:rsidRPr="000518B8">
        <w:rPr>
          <w:rFonts w:ascii="Verdana" w:hAnsi="Verdana"/>
          <w:sz w:val="22"/>
        </w:rPr>
        <w:t xml:space="preserve">senior salaries </w:t>
      </w:r>
      <w:r w:rsidR="000518B8" w:rsidRPr="000518B8">
        <w:rPr>
          <w:rFonts w:ascii="Verdana" w:hAnsi="Verdana"/>
          <w:sz w:val="22"/>
        </w:rPr>
        <w:t xml:space="preserve">constitution </w:t>
      </w:r>
    </w:p>
    <w:p w14:paraId="0DA0FD24" w14:textId="77777777" w:rsidR="000518B8" w:rsidRPr="000518B8" w:rsidRDefault="008C56D3" w:rsidP="000518B8">
      <w:pPr>
        <w:numPr>
          <w:ilvl w:val="0"/>
          <w:numId w:val="17"/>
        </w:numPr>
        <w:rPr>
          <w:rFonts w:ascii="Verdana" w:hAnsi="Verdana"/>
          <w:sz w:val="22"/>
        </w:rPr>
      </w:pPr>
      <w:r w:rsidRPr="000518B8">
        <w:rPr>
          <w:rFonts w:ascii="Verdana" w:hAnsi="Verdana"/>
          <w:sz w:val="22"/>
        </w:rPr>
        <w:t xml:space="preserve">pay multiple </w:t>
      </w:r>
    </w:p>
    <w:p w14:paraId="741C00F4" w14:textId="77777777" w:rsidR="008C56D3" w:rsidRDefault="000518B8" w:rsidP="000518B8">
      <w:pPr>
        <w:numPr>
          <w:ilvl w:val="0"/>
          <w:numId w:val="17"/>
        </w:numPr>
        <w:rPr>
          <w:rFonts w:ascii="Verdana" w:hAnsi="Verdana"/>
          <w:sz w:val="22"/>
        </w:rPr>
      </w:pPr>
      <w:r w:rsidRPr="000518B8">
        <w:rPr>
          <w:rFonts w:ascii="Verdana" w:hAnsi="Verdana"/>
          <w:sz w:val="22"/>
        </w:rPr>
        <w:t xml:space="preserve">fraud </w:t>
      </w:r>
    </w:p>
    <w:p w14:paraId="715D774A" w14:textId="77777777" w:rsidR="000518B8" w:rsidRDefault="000518B8" w:rsidP="000518B8">
      <w:pPr>
        <w:ind w:left="1080"/>
        <w:rPr>
          <w:rFonts w:ascii="Verdana" w:hAnsi="Verdana"/>
          <w:sz w:val="22"/>
        </w:rPr>
      </w:pPr>
    </w:p>
    <w:p w14:paraId="29B64C64" w14:textId="77777777" w:rsidR="000518B8" w:rsidRPr="000518B8" w:rsidRDefault="000518B8" w:rsidP="000518B8">
      <w:pPr>
        <w:ind w:left="720"/>
        <w:rPr>
          <w:rFonts w:ascii="Verdana" w:hAnsi="Verdana"/>
          <w:sz w:val="22"/>
        </w:rPr>
      </w:pPr>
      <w:r w:rsidRPr="000518B8">
        <w:rPr>
          <w:rFonts w:ascii="Verdana" w:hAnsi="Verdana"/>
          <w:sz w:val="22"/>
        </w:rPr>
        <w:t xml:space="preserve">With the exception of data relating to social housing assets, the data and information in this Part (2.2) must be: </w:t>
      </w:r>
    </w:p>
    <w:p w14:paraId="519D7191" w14:textId="77777777" w:rsidR="000518B8" w:rsidRPr="000518B8" w:rsidRDefault="000518B8" w:rsidP="000518B8">
      <w:pPr>
        <w:numPr>
          <w:ilvl w:val="0"/>
          <w:numId w:val="17"/>
        </w:numPr>
        <w:rPr>
          <w:rFonts w:ascii="Verdana" w:hAnsi="Verdana"/>
          <w:sz w:val="22"/>
        </w:rPr>
      </w:pPr>
      <w:r w:rsidRPr="000518B8">
        <w:rPr>
          <w:rFonts w:ascii="Verdana" w:hAnsi="Verdana"/>
          <w:sz w:val="22"/>
        </w:rPr>
        <w:t xml:space="preserve">first published within a period of one year from the date on which the local authority last published that data under the Local Government Transparency Code 2014 and not later than one month after the year to which the data and information is applicable </w:t>
      </w:r>
    </w:p>
    <w:p w14:paraId="201AAE54" w14:textId="77777777" w:rsidR="000518B8" w:rsidRPr="000518B8" w:rsidRDefault="000518B8" w:rsidP="000518B8">
      <w:pPr>
        <w:numPr>
          <w:ilvl w:val="0"/>
          <w:numId w:val="17"/>
        </w:numPr>
        <w:rPr>
          <w:rFonts w:ascii="Verdana" w:hAnsi="Verdana"/>
          <w:sz w:val="22"/>
        </w:rPr>
      </w:pPr>
      <w:r w:rsidRPr="000518B8">
        <w:rPr>
          <w:rFonts w:ascii="Verdana" w:hAnsi="Verdana"/>
          <w:sz w:val="22"/>
        </w:rPr>
        <w:t xml:space="preserve">published annually thereafter and on each occasion not later than one month after the year to which the data and information is applicable. </w:t>
      </w:r>
    </w:p>
    <w:p w14:paraId="3A9EA083" w14:textId="77777777" w:rsidR="000518B8" w:rsidRDefault="000518B8" w:rsidP="008C2DCC">
      <w:pPr>
        <w:pBdr>
          <w:bottom w:val="single" w:sz="4" w:space="1" w:color="auto"/>
        </w:pBdr>
        <w:rPr>
          <w:rFonts w:ascii="Verdana" w:hAnsi="Verdana"/>
          <w:sz w:val="22"/>
        </w:rPr>
      </w:pPr>
    </w:p>
    <w:p w14:paraId="72808CD1" w14:textId="77777777" w:rsidR="008C2DCC" w:rsidRDefault="008C2DCC" w:rsidP="000518B8">
      <w:pPr>
        <w:ind w:left="1080"/>
        <w:rPr>
          <w:rFonts w:ascii="Verdana" w:hAnsi="Verdana"/>
          <w:sz w:val="22"/>
        </w:rPr>
      </w:pPr>
    </w:p>
    <w:p w14:paraId="48A715DA" w14:textId="77777777" w:rsidR="000518B8" w:rsidRPr="000518B8" w:rsidRDefault="000518B8" w:rsidP="000518B8">
      <w:pPr>
        <w:rPr>
          <w:rFonts w:ascii="Verdana" w:hAnsi="Verdana"/>
          <w:sz w:val="22"/>
          <w:u w:val="single"/>
        </w:rPr>
      </w:pPr>
      <w:r w:rsidRPr="000518B8">
        <w:rPr>
          <w:rFonts w:ascii="Verdana" w:hAnsi="Verdana"/>
          <w:sz w:val="22"/>
          <w:u w:val="single"/>
        </w:rPr>
        <w:t xml:space="preserve">Part 2.3: Information to be published once only </w:t>
      </w:r>
    </w:p>
    <w:p w14:paraId="4CFE23A3" w14:textId="77777777" w:rsidR="000518B8" w:rsidRPr="000518B8" w:rsidRDefault="000518B8" w:rsidP="000518B8">
      <w:pPr>
        <w:ind w:left="720"/>
        <w:rPr>
          <w:rFonts w:ascii="Verdana" w:hAnsi="Verdana"/>
          <w:sz w:val="22"/>
        </w:rPr>
      </w:pPr>
      <w:r w:rsidRPr="000518B8">
        <w:rPr>
          <w:rFonts w:ascii="Verdana" w:hAnsi="Verdana"/>
          <w:sz w:val="22"/>
        </w:rPr>
        <w:t xml:space="preserve">Waste contracts </w:t>
      </w:r>
    </w:p>
    <w:p w14:paraId="4CA9FD14" w14:textId="77777777" w:rsidR="000518B8" w:rsidRPr="000518B8" w:rsidRDefault="000518B8" w:rsidP="000518B8">
      <w:pPr>
        <w:ind w:left="720"/>
        <w:rPr>
          <w:rFonts w:ascii="Verdana" w:hAnsi="Verdana"/>
          <w:sz w:val="22"/>
        </w:rPr>
      </w:pPr>
      <w:r w:rsidRPr="000518B8">
        <w:rPr>
          <w:rFonts w:ascii="Verdana" w:hAnsi="Verdana"/>
          <w:sz w:val="22"/>
        </w:rPr>
        <w:t>Local authorities must publish details of their existing waste collection contracts</w:t>
      </w:r>
      <w:r w:rsidR="00DE3C80">
        <w:rPr>
          <w:rFonts w:ascii="Verdana" w:hAnsi="Verdana"/>
          <w:sz w:val="22"/>
        </w:rPr>
        <w:t>.</w:t>
      </w:r>
    </w:p>
    <w:p w14:paraId="305ED271" w14:textId="77777777" w:rsidR="000518B8" w:rsidRPr="000518B8" w:rsidRDefault="000518B8" w:rsidP="000518B8">
      <w:pPr>
        <w:ind w:left="720"/>
        <w:rPr>
          <w:rFonts w:ascii="Verdana" w:hAnsi="Verdana"/>
          <w:sz w:val="22"/>
        </w:rPr>
      </w:pPr>
      <w:r w:rsidRPr="000518B8">
        <w:rPr>
          <w:rFonts w:ascii="Verdana" w:hAnsi="Verdana"/>
          <w:sz w:val="22"/>
        </w:rPr>
        <w:t xml:space="preserve">Local authorities must publish this information at the same time as they first publish quarterly procurement information </w:t>
      </w:r>
    </w:p>
    <w:p w14:paraId="40BBFB4A" w14:textId="77777777" w:rsidR="000518B8" w:rsidRDefault="000518B8" w:rsidP="008C2DCC">
      <w:pPr>
        <w:pBdr>
          <w:bottom w:val="single" w:sz="4" w:space="1" w:color="auto"/>
        </w:pBdr>
        <w:rPr>
          <w:rFonts w:ascii="Verdana" w:hAnsi="Verdana"/>
          <w:sz w:val="22"/>
        </w:rPr>
      </w:pPr>
    </w:p>
    <w:p w14:paraId="06A40F3E" w14:textId="77777777" w:rsidR="008C2DCC" w:rsidRPr="000518B8" w:rsidRDefault="008C2DCC" w:rsidP="000518B8">
      <w:pPr>
        <w:rPr>
          <w:rFonts w:ascii="Verdana" w:hAnsi="Verdana"/>
          <w:sz w:val="22"/>
        </w:rPr>
      </w:pPr>
    </w:p>
    <w:p w14:paraId="5EE96A54" w14:textId="77777777" w:rsidR="000518B8" w:rsidRPr="000518B8" w:rsidRDefault="000518B8" w:rsidP="000518B8">
      <w:pPr>
        <w:rPr>
          <w:rFonts w:ascii="Verdana" w:hAnsi="Verdana"/>
          <w:sz w:val="22"/>
          <w:u w:val="single"/>
        </w:rPr>
      </w:pPr>
      <w:r w:rsidRPr="000518B8">
        <w:rPr>
          <w:rFonts w:ascii="Verdana" w:hAnsi="Verdana"/>
          <w:sz w:val="22"/>
          <w:u w:val="single"/>
        </w:rPr>
        <w:t xml:space="preserve">Part 2.4: Method of publication </w:t>
      </w:r>
    </w:p>
    <w:p w14:paraId="3BA10A2F" w14:textId="77777777" w:rsidR="000518B8" w:rsidRPr="000518B8" w:rsidRDefault="000518B8" w:rsidP="000518B8">
      <w:pPr>
        <w:ind w:left="720"/>
        <w:rPr>
          <w:rFonts w:ascii="Verdana" w:hAnsi="Verdana"/>
          <w:sz w:val="22"/>
        </w:rPr>
      </w:pPr>
      <w:r w:rsidRPr="000518B8">
        <w:rPr>
          <w:rFonts w:ascii="Verdana" w:hAnsi="Verdana"/>
          <w:sz w:val="22"/>
        </w:rPr>
        <w:t xml:space="preserve">Public data should be published in a format and under a licence that allows open reuse, including for commercial and research activities, in order to maximise value to the public. </w:t>
      </w:r>
    </w:p>
    <w:p w14:paraId="2C10759B" w14:textId="77777777" w:rsidR="000518B8" w:rsidRPr="00E345F2" w:rsidRDefault="000518B8" w:rsidP="000518B8">
      <w:pPr>
        <w:numPr>
          <w:ilvl w:val="0"/>
          <w:numId w:val="18"/>
        </w:numPr>
        <w:rPr>
          <w:rFonts w:ascii="Verdana" w:hAnsi="Verdana"/>
          <w:sz w:val="22"/>
        </w:rPr>
      </w:pPr>
      <w:r w:rsidRPr="00E345F2">
        <w:rPr>
          <w:rFonts w:ascii="Verdana" w:hAnsi="Verdana"/>
          <w:sz w:val="22"/>
        </w:rPr>
        <w:t>Refer to the full code for further details.</w:t>
      </w:r>
    </w:p>
    <w:sectPr w:rsidR="000518B8" w:rsidRPr="00E345F2" w:rsidSect="00205EDD">
      <w:headerReference w:type="even" r:id="rId17"/>
      <w:headerReference w:type="default" r:id="rId18"/>
      <w:footerReference w:type="even" r:id="rId19"/>
      <w:footerReference w:type="default" r:id="rId20"/>
      <w:headerReference w:type="first" r:id="rId21"/>
      <w:footerReference w:type="first" r:id="rId2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F16A" w14:textId="77777777" w:rsidR="00471A13" w:rsidRDefault="00471A13" w:rsidP="00117BD6">
      <w:r>
        <w:separator/>
      </w:r>
    </w:p>
  </w:endnote>
  <w:endnote w:type="continuationSeparator" w:id="0">
    <w:p w14:paraId="57CBB24A" w14:textId="77777777" w:rsidR="00471A13" w:rsidRDefault="00471A13" w:rsidP="0011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C6FF" w14:textId="77777777" w:rsidR="002D5A29" w:rsidRDefault="002D5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E6BB" w14:textId="53341D74" w:rsidR="00F049B7" w:rsidRPr="00F049B7" w:rsidRDefault="00E345F2" w:rsidP="00F049B7">
    <w:pPr>
      <w:pStyle w:val="Footer"/>
      <w:pBdr>
        <w:top w:val="single" w:sz="4" w:space="1" w:color="D9D9D9"/>
      </w:pBdr>
      <w:rPr>
        <w:rFonts w:ascii="Verdana" w:hAnsi="Verdana"/>
        <w:sz w:val="16"/>
        <w:szCs w:val="16"/>
      </w:rPr>
    </w:pPr>
    <w:r w:rsidRPr="00F049B7">
      <w:rPr>
        <w:rFonts w:ascii="Verdana" w:hAnsi="Verdana"/>
        <w:sz w:val="16"/>
        <w:szCs w:val="16"/>
      </w:rPr>
      <w:t>Transparency Policy</w:t>
    </w:r>
    <w:r w:rsidRPr="00F049B7">
      <w:rPr>
        <w:rFonts w:ascii="Verdana" w:hAnsi="Verdana"/>
        <w:sz w:val="16"/>
        <w:szCs w:val="16"/>
      </w:rPr>
      <w:tab/>
      <w:t xml:space="preserve">              </w:t>
    </w:r>
    <w:r w:rsidR="00205EDD" w:rsidRPr="00F049B7">
      <w:rPr>
        <w:rFonts w:ascii="Verdana" w:hAnsi="Verdana"/>
        <w:sz w:val="16"/>
        <w:szCs w:val="16"/>
      </w:rPr>
      <w:t xml:space="preserve">   </w:t>
    </w:r>
  </w:p>
  <w:p w14:paraId="52E36E39" w14:textId="26A2E569" w:rsidR="009B62E2" w:rsidRPr="00F049B7" w:rsidRDefault="00F049B7" w:rsidP="00E345F2">
    <w:pPr>
      <w:pStyle w:val="Footer"/>
      <w:pBdr>
        <w:top w:val="single" w:sz="4" w:space="1" w:color="D9D9D9"/>
      </w:pBdr>
      <w:jc w:val="right"/>
      <w:rPr>
        <w:rFonts w:ascii="Verdana" w:hAnsi="Verdana"/>
        <w:sz w:val="16"/>
        <w:szCs w:val="16"/>
      </w:rPr>
    </w:pPr>
    <w:r w:rsidRPr="00F049B7">
      <w:rPr>
        <w:rFonts w:ascii="Verdana" w:hAnsi="Verdana"/>
        <w:sz w:val="16"/>
        <w:szCs w:val="16"/>
      </w:rPr>
      <w:tab/>
      <w:t xml:space="preserve">                       </w:t>
    </w:r>
    <w:r w:rsidR="009B62E2" w:rsidRPr="00F049B7">
      <w:rPr>
        <w:rFonts w:ascii="Verdana" w:hAnsi="Verdana"/>
        <w:sz w:val="16"/>
        <w:szCs w:val="16"/>
      </w:rPr>
      <w:fldChar w:fldCharType="begin"/>
    </w:r>
    <w:r w:rsidR="009B62E2" w:rsidRPr="00F049B7">
      <w:rPr>
        <w:rFonts w:ascii="Verdana" w:hAnsi="Verdana"/>
        <w:sz w:val="16"/>
        <w:szCs w:val="16"/>
      </w:rPr>
      <w:instrText xml:space="preserve"> PAGE   \* MERGEFORMAT </w:instrText>
    </w:r>
    <w:r w:rsidR="009B62E2" w:rsidRPr="00F049B7">
      <w:rPr>
        <w:rFonts w:ascii="Verdana" w:hAnsi="Verdana"/>
        <w:sz w:val="16"/>
        <w:szCs w:val="16"/>
      </w:rPr>
      <w:fldChar w:fldCharType="separate"/>
    </w:r>
    <w:r w:rsidR="00EE46DC" w:rsidRPr="00F049B7">
      <w:rPr>
        <w:rFonts w:ascii="Verdana" w:hAnsi="Verdana"/>
        <w:noProof/>
        <w:sz w:val="16"/>
        <w:szCs w:val="16"/>
      </w:rPr>
      <w:t>2</w:t>
    </w:r>
    <w:r w:rsidR="009B62E2" w:rsidRPr="00F049B7">
      <w:rPr>
        <w:rFonts w:ascii="Verdana" w:hAnsi="Verdana"/>
        <w:sz w:val="16"/>
        <w:szCs w:val="16"/>
      </w:rPr>
      <w:fldChar w:fldCharType="end"/>
    </w:r>
    <w:r w:rsidR="009B62E2" w:rsidRPr="00F049B7">
      <w:rPr>
        <w:rFonts w:ascii="Verdana" w:hAnsi="Verdana"/>
        <w:sz w:val="16"/>
        <w:szCs w:val="16"/>
      </w:rPr>
      <w:t xml:space="preserve"> | </w:t>
    </w:r>
    <w:r w:rsidR="009B62E2" w:rsidRPr="00F049B7">
      <w:rPr>
        <w:rFonts w:ascii="Verdana" w:hAnsi="Verdana"/>
        <w:color w:val="7F7F7F"/>
        <w:spacing w:val="60"/>
        <w:sz w:val="16"/>
        <w:szCs w:val="16"/>
      </w:rPr>
      <w:t>Page</w:t>
    </w:r>
  </w:p>
  <w:p w14:paraId="7A0855D3" w14:textId="77777777" w:rsidR="009B62E2" w:rsidRDefault="009B6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9E1" w14:textId="77777777" w:rsidR="002D5A29" w:rsidRDefault="002D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AFDB" w14:textId="77777777" w:rsidR="00471A13" w:rsidRDefault="00471A13" w:rsidP="00117BD6">
      <w:r>
        <w:separator/>
      </w:r>
    </w:p>
  </w:footnote>
  <w:footnote w:type="continuationSeparator" w:id="0">
    <w:p w14:paraId="07384381" w14:textId="77777777" w:rsidR="00471A13" w:rsidRDefault="00471A13" w:rsidP="0011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EB0C" w14:textId="77777777" w:rsidR="002D5A29" w:rsidRDefault="002D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611F" w14:textId="77777777" w:rsidR="002D5A29" w:rsidRDefault="002D5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206" w14:textId="77777777" w:rsidR="002D5A29" w:rsidRDefault="002D5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0FE"/>
    <w:multiLevelType w:val="hybridMultilevel"/>
    <w:tmpl w:val="7E7C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952"/>
    <w:multiLevelType w:val="hybridMultilevel"/>
    <w:tmpl w:val="FAB6D12A"/>
    <w:lvl w:ilvl="0" w:tplc="8196F6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A4DC1"/>
    <w:multiLevelType w:val="hybridMultilevel"/>
    <w:tmpl w:val="FEE40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17189"/>
    <w:multiLevelType w:val="hybridMultilevel"/>
    <w:tmpl w:val="EC564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A433DA"/>
    <w:multiLevelType w:val="hybridMultilevel"/>
    <w:tmpl w:val="69F42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150BF"/>
    <w:multiLevelType w:val="hybridMultilevel"/>
    <w:tmpl w:val="00D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511CD"/>
    <w:multiLevelType w:val="hybridMultilevel"/>
    <w:tmpl w:val="342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104D7"/>
    <w:multiLevelType w:val="hybridMultilevel"/>
    <w:tmpl w:val="B67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823D5"/>
    <w:multiLevelType w:val="hybridMultilevel"/>
    <w:tmpl w:val="B3A8DB18"/>
    <w:lvl w:ilvl="0" w:tplc="A6569F9C">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4D17E20"/>
    <w:multiLevelType w:val="hybridMultilevel"/>
    <w:tmpl w:val="B0F426F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C5FC9"/>
    <w:multiLevelType w:val="hybridMultilevel"/>
    <w:tmpl w:val="DDE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20178"/>
    <w:multiLevelType w:val="hybridMultilevel"/>
    <w:tmpl w:val="24B49062"/>
    <w:lvl w:ilvl="0" w:tplc="688C3E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01188E"/>
    <w:multiLevelType w:val="hybridMultilevel"/>
    <w:tmpl w:val="4CC45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2A5D55"/>
    <w:multiLevelType w:val="hybridMultilevel"/>
    <w:tmpl w:val="7D7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05BFA"/>
    <w:multiLevelType w:val="hybridMultilevel"/>
    <w:tmpl w:val="601CA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A0C87"/>
    <w:multiLevelType w:val="hybridMultilevel"/>
    <w:tmpl w:val="791228EE"/>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B2F4A"/>
    <w:multiLevelType w:val="hybridMultilevel"/>
    <w:tmpl w:val="B862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313C"/>
    <w:multiLevelType w:val="hybridMultilevel"/>
    <w:tmpl w:val="24FAF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5037310">
    <w:abstractNumId w:val="16"/>
  </w:num>
  <w:num w:numId="2" w16cid:durableId="354158538">
    <w:abstractNumId w:val="0"/>
  </w:num>
  <w:num w:numId="3" w16cid:durableId="1973095349">
    <w:abstractNumId w:val="17"/>
  </w:num>
  <w:num w:numId="4" w16cid:durableId="1433667451">
    <w:abstractNumId w:val="7"/>
  </w:num>
  <w:num w:numId="5" w16cid:durableId="772822685">
    <w:abstractNumId w:val="5"/>
  </w:num>
  <w:num w:numId="6" w16cid:durableId="160049739">
    <w:abstractNumId w:val="10"/>
  </w:num>
  <w:num w:numId="7" w16cid:durableId="1139957817">
    <w:abstractNumId w:val="13"/>
  </w:num>
  <w:num w:numId="8" w16cid:durableId="675497241">
    <w:abstractNumId w:val="3"/>
  </w:num>
  <w:num w:numId="9" w16cid:durableId="505554916">
    <w:abstractNumId w:val="8"/>
  </w:num>
  <w:num w:numId="10" w16cid:durableId="142819275">
    <w:abstractNumId w:val="15"/>
  </w:num>
  <w:num w:numId="11" w16cid:durableId="347952309">
    <w:abstractNumId w:val="14"/>
  </w:num>
  <w:num w:numId="12" w16cid:durableId="1646856235">
    <w:abstractNumId w:val="11"/>
  </w:num>
  <w:num w:numId="13" w16cid:durableId="485367926">
    <w:abstractNumId w:val="6"/>
  </w:num>
  <w:num w:numId="14" w16cid:durableId="43218184">
    <w:abstractNumId w:val="2"/>
  </w:num>
  <w:num w:numId="15" w16cid:durableId="1984000122">
    <w:abstractNumId w:val="4"/>
  </w:num>
  <w:num w:numId="16" w16cid:durableId="1186551859">
    <w:abstractNumId w:val="9"/>
  </w:num>
  <w:num w:numId="17" w16cid:durableId="1699163850">
    <w:abstractNumId w:val="12"/>
  </w:num>
  <w:num w:numId="18" w16cid:durableId="101129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NDQ2M7C0NDcyNjNW0lEKTi0uzszPAykwrAUAELMj8SwAAAA="/>
  </w:docVars>
  <w:rsids>
    <w:rsidRoot w:val="00432569"/>
    <w:rsid w:val="000518B8"/>
    <w:rsid w:val="000934E0"/>
    <w:rsid w:val="000B28B6"/>
    <w:rsid w:val="00115200"/>
    <w:rsid w:val="00117BD6"/>
    <w:rsid w:val="0017612F"/>
    <w:rsid w:val="001E6494"/>
    <w:rsid w:val="00205EDD"/>
    <w:rsid w:val="0027245B"/>
    <w:rsid w:val="002949F2"/>
    <w:rsid w:val="002D5A29"/>
    <w:rsid w:val="00432569"/>
    <w:rsid w:val="00471A13"/>
    <w:rsid w:val="00491B60"/>
    <w:rsid w:val="004B112C"/>
    <w:rsid w:val="004D6F2C"/>
    <w:rsid w:val="004E21C3"/>
    <w:rsid w:val="004E3360"/>
    <w:rsid w:val="00527343"/>
    <w:rsid w:val="005A69E3"/>
    <w:rsid w:val="005E1D2B"/>
    <w:rsid w:val="005E3FF0"/>
    <w:rsid w:val="005F6105"/>
    <w:rsid w:val="00610848"/>
    <w:rsid w:val="006F2B6A"/>
    <w:rsid w:val="006F59AF"/>
    <w:rsid w:val="00774DE4"/>
    <w:rsid w:val="007F28FE"/>
    <w:rsid w:val="00814FF8"/>
    <w:rsid w:val="00830305"/>
    <w:rsid w:val="008373C4"/>
    <w:rsid w:val="00846CAF"/>
    <w:rsid w:val="0087114C"/>
    <w:rsid w:val="008C2DCC"/>
    <w:rsid w:val="008C56D3"/>
    <w:rsid w:val="009B62E2"/>
    <w:rsid w:val="00A35BC9"/>
    <w:rsid w:val="00A509C6"/>
    <w:rsid w:val="00AC36AB"/>
    <w:rsid w:val="00AF3223"/>
    <w:rsid w:val="00B10057"/>
    <w:rsid w:val="00B36D52"/>
    <w:rsid w:val="00B432BE"/>
    <w:rsid w:val="00BF5EC8"/>
    <w:rsid w:val="00C4012A"/>
    <w:rsid w:val="00C405E0"/>
    <w:rsid w:val="00C76840"/>
    <w:rsid w:val="00C857B1"/>
    <w:rsid w:val="00C97CC3"/>
    <w:rsid w:val="00CC6AB6"/>
    <w:rsid w:val="00D03641"/>
    <w:rsid w:val="00D7455C"/>
    <w:rsid w:val="00DC02AD"/>
    <w:rsid w:val="00DC1028"/>
    <w:rsid w:val="00DE3C80"/>
    <w:rsid w:val="00DE6C7B"/>
    <w:rsid w:val="00E225F3"/>
    <w:rsid w:val="00E345F2"/>
    <w:rsid w:val="00E5027E"/>
    <w:rsid w:val="00E872EF"/>
    <w:rsid w:val="00EB6328"/>
    <w:rsid w:val="00EE46DC"/>
    <w:rsid w:val="00F049B7"/>
    <w:rsid w:val="00F31BA0"/>
    <w:rsid w:val="00F74C00"/>
    <w:rsid w:val="00FA0D01"/>
    <w:rsid w:val="00FE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CDE5D0"/>
  <w15:chartTrackingRefBased/>
  <w15:docId w15:val="{28B07E72-80BD-4E33-A129-A3D0EF64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2F"/>
    <w:rPr>
      <w:rFonts w:eastAsia="Times New Roman"/>
      <w:sz w:val="24"/>
      <w:szCs w:val="22"/>
      <w:lang w:eastAsia="en-US"/>
    </w:rPr>
  </w:style>
  <w:style w:type="paragraph" w:styleId="Heading1">
    <w:name w:val="heading 1"/>
    <w:basedOn w:val="Normal"/>
    <w:next w:val="Normal"/>
    <w:link w:val="Heading1Char"/>
    <w:qFormat/>
    <w:locked/>
    <w:rsid w:val="00FA0D01"/>
    <w:pPr>
      <w:keepNext/>
      <w:outlineLvl w:val="0"/>
    </w:pPr>
    <w:rPr>
      <w:rFonts w:ascii="Century Schoolbook" w:hAnsi="Century Schoolbook"/>
      <w:b/>
      <w:sz w:val="5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69"/>
    <w:pPr>
      <w:ind w:left="720"/>
      <w:contextualSpacing/>
    </w:pPr>
  </w:style>
  <w:style w:type="table" w:styleId="TableGrid">
    <w:name w:val="Table Grid"/>
    <w:basedOn w:val="TableNormal"/>
    <w:rsid w:val="005E1D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7BD6"/>
    <w:pPr>
      <w:tabs>
        <w:tab w:val="center" w:pos="4513"/>
        <w:tab w:val="right" w:pos="9026"/>
      </w:tabs>
    </w:pPr>
  </w:style>
  <w:style w:type="character" w:customStyle="1" w:styleId="HeaderChar">
    <w:name w:val="Header Char"/>
    <w:link w:val="Header"/>
    <w:locked/>
    <w:rsid w:val="00117BD6"/>
    <w:rPr>
      <w:rFonts w:cs="Times New Roman"/>
    </w:rPr>
  </w:style>
  <w:style w:type="paragraph" w:styleId="Footer">
    <w:name w:val="footer"/>
    <w:basedOn w:val="Normal"/>
    <w:link w:val="FooterChar"/>
    <w:rsid w:val="00117BD6"/>
    <w:pPr>
      <w:tabs>
        <w:tab w:val="center" w:pos="4513"/>
        <w:tab w:val="right" w:pos="9026"/>
      </w:tabs>
    </w:pPr>
  </w:style>
  <w:style w:type="character" w:customStyle="1" w:styleId="FooterChar">
    <w:name w:val="Footer Char"/>
    <w:link w:val="Footer"/>
    <w:locked/>
    <w:rsid w:val="00117BD6"/>
    <w:rPr>
      <w:rFonts w:cs="Times New Roman"/>
    </w:rPr>
  </w:style>
  <w:style w:type="paragraph" w:styleId="BalloonText">
    <w:name w:val="Balloon Text"/>
    <w:basedOn w:val="Normal"/>
    <w:link w:val="BalloonTextChar"/>
    <w:semiHidden/>
    <w:rsid w:val="00117BD6"/>
    <w:rPr>
      <w:rFonts w:ascii="Segoe UI" w:hAnsi="Segoe UI" w:cs="Segoe UI"/>
      <w:sz w:val="18"/>
      <w:szCs w:val="18"/>
    </w:rPr>
  </w:style>
  <w:style w:type="character" w:customStyle="1" w:styleId="BalloonTextChar">
    <w:name w:val="Balloon Text Char"/>
    <w:link w:val="BalloonText"/>
    <w:semiHidden/>
    <w:locked/>
    <w:rsid w:val="00117BD6"/>
    <w:rPr>
      <w:rFonts w:ascii="Segoe UI" w:hAnsi="Segoe UI" w:cs="Segoe UI"/>
      <w:sz w:val="18"/>
      <w:szCs w:val="18"/>
    </w:rPr>
  </w:style>
  <w:style w:type="character" w:customStyle="1" w:styleId="Heading1Char">
    <w:name w:val="Heading 1 Char"/>
    <w:link w:val="Heading1"/>
    <w:rsid w:val="00FA0D01"/>
    <w:rPr>
      <w:rFonts w:ascii="Century Schoolbook" w:eastAsia="Times New Roman" w:hAnsi="Century Schoolbook"/>
      <w:b/>
      <w:sz w:val="56"/>
      <w:szCs w:val="46"/>
    </w:rPr>
  </w:style>
  <w:style w:type="character" w:customStyle="1" w:styleId="apple-converted-space">
    <w:name w:val="apple-converted-space"/>
    <w:rsid w:val="00610848"/>
  </w:style>
  <w:style w:type="character" w:styleId="Hyperlink">
    <w:name w:val="Hyperlink"/>
    <w:uiPriority w:val="99"/>
    <w:unhideWhenUsed/>
    <w:rsid w:val="00610848"/>
    <w:rPr>
      <w:color w:val="0000FF"/>
      <w:u w:val="single"/>
    </w:rPr>
  </w:style>
  <w:style w:type="paragraph" w:customStyle="1" w:styleId="description">
    <w:name w:val="description"/>
    <w:basedOn w:val="Normal"/>
    <w:rsid w:val="004B112C"/>
    <w:pPr>
      <w:spacing w:before="100" w:beforeAutospacing="1" w:after="100" w:afterAutospacing="1"/>
    </w:pPr>
    <w:rPr>
      <w:szCs w:val="24"/>
      <w:lang w:eastAsia="en-GB"/>
    </w:rPr>
  </w:style>
  <w:style w:type="table" w:customStyle="1" w:styleId="TableGrid0">
    <w:name w:val="TableGrid"/>
    <w:rsid w:val="002D5A2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local-government-transparency-code-201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topic/local-government/transparen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olicies/local-council-transparency-and-accountability"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epartment-for-communities-and-local-govern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7" ma:contentTypeDescription="Create a new document." ma:contentTypeScope="" ma:versionID="04e073437a57c9825ae784ef18a647c3">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9830998e0fd6a2cb0cb5e774169b5513"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3E68A1-E723-444E-A963-0125953A8ACD}">
  <ds:schemaRefs>
    <ds:schemaRef ds:uri="http://schemas.microsoft.com/sharepoint/v3/contenttype/forms"/>
  </ds:schemaRefs>
</ds:datastoreItem>
</file>

<file path=customXml/itemProps2.xml><?xml version="1.0" encoding="utf-8"?>
<ds:datastoreItem xmlns:ds="http://schemas.openxmlformats.org/officeDocument/2006/customXml" ds:itemID="{8130FF5C-7107-4A60-9984-6116E979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EE783-B54E-4DEF-9BA9-C1F2B52CD0EE}">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Council Award Scheme – Anstey Parish Council</vt:lpstr>
    </vt:vector>
  </TitlesOfParts>
  <Company/>
  <LinksUpToDate>false</LinksUpToDate>
  <CharactersWithSpaces>4173</CharactersWithSpaces>
  <SharedDoc>false</SharedDoc>
  <HLinks>
    <vt:vector size="24" baseType="variant">
      <vt:variant>
        <vt:i4>2097269</vt:i4>
      </vt:variant>
      <vt:variant>
        <vt:i4>12</vt:i4>
      </vt:variant>
      <vt:variant>
        <vt:i4>0</vt:i4>
      </vt:variant>
      <vt:variant>
        <vt:i4>5</vt:i4>
      </vt:variant>
      <vt:variant>
        <vt:lpwstr>https://www.gov.uk/topic/local-government/transparency</vt:lpwstr>
      </vt:variant>
      <vt:variant>
        <vt:lpwstr/>
      </vt:variant>
      <vt:variant>
        <vt:i4>6160472</vt:i4>
      </vt:variant>
      <vt:variant>
        <vt:i4>9</vt:i4>
      </vt:variant>
      <vt:variant>
        <vt:i4>0</vt:i4>
      </vt:variant>
      <vt:variant>
        <vt:i4>5</vt:i4>
      </vt:variant>
      <vt:variant>
        <vt:lpwstr>https://www.gov.uk/government/policies/local-council-transparency-and-accountability</vt:lpwstr>
      </vt:variant>
      <vt:variant>
        <vt:lpwstr/>
      </vt:variant>
      <vt:variant>
        <vt:i4>6619192</vt:i4>
      </vt:variant>
      <vt:variant>
        <vt:i4>6</vt:i4>
      </vt:variant>
      <vt:variant>
        <vt:i4>0</vt:i4>
      </vt:variant>
      <vt:variant>
        <vt:i4>5</vt:i4>
      </vt:variant>
      <vt:variant>
        <vt:lpwstr>https://www.gov.uk/government/organisations/department-for-communities-and-local-government</vt:lpwstr>
      </vt:variant>
      <vt:variant>
        <vt:lpwstr/>
      </vt:variant>
      <vt:variant>
        <vt:i4>3604543</vt:i4>
      </vt:variant>
      <vt:variant>
        <vt:i4>3</vt:i4>
      </vt:variant>
      <vt:variant>
        <vt:i4>0</vt:i4>
      </vt:variant>
      <vt:variant>
        <vt:i4>5</vt:i4>
      </vt:variant>
      <vt:variant>
        <vt:lpwstr>https://www.gov.uk/government/publications/local-government-transparency-code-2015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Council Award Scheme – Anstey Parish Council</dc:title>
  <dc:subject/>
  <dc:creator>Liz Hawkes</dc:creator>
  <cp:keywords/>
  <cp:lastModifiedBy>Tina Crookes</cp:lastModifiedBy>
  <cp:revision>5</cp:revision>
  <cp:lastPrinted>2015-10-14T12:32:00Z</cp:lastPrinted>
  <dcterms:created xsi:type="dcterms:W3CDTF">2022-09-29T08:51:00Z</dcterms:created>
  <dcterms:modified xsi:type="dcterms:W3CDTF">2023-09-26T08:44:00Z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0x01010084F0C6BBF1EC7D49A8D218E42F797D15</vt:lpwstr>
  </property>
</Properties>
</file>