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64" w:type="dxa"/>
        <w:tblInd w:w="108" w:type="dxa"/>
        <w:tblLook w:val="04A0" w:firstRow="1" w:lastRow="0" w:firstColumn="1" w:lastColumn="0" w:noHBand="0" w:noVBand="1"/>
      </w:tblPr>
      <w:tblGrid>
        <w:gridCol w:w="1141"/>
        <w:gridCol w:w="2970"/>
        <w:gridCol w:w="3402"/>
        <w:gridCol w:w="2097"/>
        <w:gridCol w:w="2522"/>
        <w:gridCol w:w="1618"/>
        <w:gridCol w:w="2914"/>
      </w:tblGrid>
      <w:tr w:rsidR="0083192D" w:rsidRPr="0083192D" w14:paraId="4E66F3FC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E00" w14:textId="77777777" w:rsidR="0083192D" w:rsidRPr="0083192D" w:rsidRDefault="0083192D" w:rsidP="00831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041" w14:textId="77777777" w:rsidR="0083192D" w:rsidRPr="0083192D" w:rsidRDefault="0083192D" w:rsidP="0083192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7AD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C9E6D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889F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179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696" w14:textId="77777777" w:rsidR="0083192D" w:rsidRPr="0083192D" w:rsidRDefault="0083192D" w:rsidP="0083192D">
            <w:pPr>
              <w:spacing w:after="0" w:line="240" w:lineRule="auto"/>
            </w:pPr>
          </w:p>
        </w:tc>
      </w:tr>
      <w:tr w:rsidR="0083192D" w:rsidRPr="0083192D" w14:paraId="1EC05786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ECED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2CE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HIGH PRIORITY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71D2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 - Alfreton Town Council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5C0A7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 - Town Clerk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8097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3FE" w14:textId="77777777" w:rsidR="0083192D" w:rsidRPr="0083192D" w:rsidRDefault="0083192D" w:rsidP="0083192D">
            <w:pPr>
              <w:spacing w:after="0" w:line="240" w:lineRule="auto"/>
            </w:pPr>
          </w:p>
        </w:tc>
      </w:tr>
      <w:tr w:rsidR="0083192D" w:rsidRPr="0083192D" w14:paraId="57A00B84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A77C3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143A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MEDIUM PRIORITY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CAF3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AVBC - Amber Valley Borough Council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9325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 - Assistant Town Clerk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B4E7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02F" w14:textId="77777777" w:rsidR="0083192D" w:rsidRPr="0083192D" w:rsidRDefault="0083192D" w:rsidP="0083192D">
            <w:pPr>
              <w:spacing w:after="0" w:line="240" w:lineRule="auto"/>
            </w:pPr>
          </w:p>
        </w:tc>
      </w:tr>
      <w:tr w:rsidR="0083192D" w:rsidRPr="0083192D" w14:paraId="1DDCEC65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B9BF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9DD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LOW PRIORITY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3351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DCC - Derbyshire County Council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946F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OA - Office Assistant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3633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0E21" w14:textId="77777777" w:rsidR="0083192D" w:rsidRPr="0083192D" w:rsidRDefault="0083192D" w:rsidP="0083192D">
            <w:pPr>
              <w:spacing w:after="0" w:line="240" w:lineRule="auto"/>
            </w:pPr>
          </w:p>
        </w:tc>
      </w:tr>
      <w:tr w:rsidR="0083192D" w:rsidRPr="0083192D" w14:paraId="17BFAB78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A174" w14:textId="7A7C104C" w:rsidR="0083192D" w:rsidRPr="0083192D" w:rsidRDefault="0083192D" w:rsidP="0083192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19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CA453B" wp14:editId="5DD9757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28575</wp:posOffset>
                      </wp:positionV>
                      <wp:extent cx="180975" cy="2667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804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5pt;margin-top:2.25pt;width:14.2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</w:tblGrid>
            <w:tr w:rsidR="0083192D" w:rsidRPr="0083192D" w14:paraId="5EAF7154" w14:textId="77777777">
              <w:trPr>
                <w:trHeight w:val="28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EFB2E9" w14:textId="77777777" w:rsidR="0083192D" w:rsidRPr="0083192D" w:rsidRDefault="0083192D" w:rsidP="0083192D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B9B97CF" w14:textId="77777777" w:rsidR="0083192D" w:rsidRPr="0083192D" w:rsidRDefault="0083192D" w:rsidP="0083192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9013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2BBB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5E1B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3FBFD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6EC01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8CD1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83192D" w:rsidRPr="0083192D" w14:paraId="4C9BD109" w14:textId="77777777" w:rsidTr="0083192D">
        <w:trPr>
          <w:trHeight w:val="28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71A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Priority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063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Task &amp; Background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2B2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Update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2F1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8C1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Budget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A55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Completion  date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F9A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By</w:t>
            </w:r>
            <w:bookmarkStart w:id="0" w:name="_GoBack"/>
            <w:bookmarkEnd w:id="0"/>
          </w:p>
        </w:tc>
      </w:tr>
      <w:tr w:rsidR="0083192D" w:rsidRPr="0083192D" w14:paraId="74774795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2A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B20" w14:textId="77777777" w:rsidR="0083192D" w:rsidRPr="0083192D" w:rsidRDefault="0083192D" w:rsidP="0083192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A8A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57A5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15B23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3D7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F0D" w14:textId="77777777" w:rsidR="0083192D" w:rsidRPr="0083192D" w:rsidRDefault="0083192D" w:rsidP="0083192D">
            <w:pPr>
              <w:spacing w:after="0" w:line="240" w:lineRule="auto"/>
            </w:pPr>
          </w:p>
        </w:tc>
      </w:tr>
      <w:tr w:rsidR="0083192D" w:rsidRPr="0083192D" w14:paraId="10D99EFE" w14:textId="77777777" w:rsidTr="0083192D">
        <w:trPr>
          <w:trHeight w:val="5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25F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81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Grit bin refill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1845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Request number owned by AVBC and DCC.  Alternative costs for filling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E0F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19.06.18 (10a)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2BA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DA9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2A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6CA2A47E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FB5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68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Footpath </w:t>
            </w: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Southcroft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69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Emailed DCC 07.06.18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D7C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29.05.18 (24)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238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2F58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95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2FC1B280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72D4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0EF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Parking on Wood St/Station/Ind Estate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0A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Emailed AVBC and DCC 07.06.18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AD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29.05.18 (24)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309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None yet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29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3F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59CE9651" w14:textId="77777777" w:rsidTr="0083192D">
        <w:trPr>
          <w:trHeight w:val="5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76F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FC7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GDPR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EB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Policy approved Mar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FD1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06.03.2018 (5)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1DD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None yet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B93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2D3E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</w:t>
            </w:r>
          </w:p>
        </w:tc>
      </w:tr>
      <w:tr w:rsidR="0083192D" w:rsidRPr="0083192D" w14:paraId="2FA65DFC" w14:textId="77777777" w:rsidTr="0083192D">
        <w:trPr>
          <w:trHeight w:val="5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664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9C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Centenary Green Event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66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Cancelled until Spring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6C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20.02.2018 (10a)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9E3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Refreshments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Events (£7000.00)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60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7D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</w:t>
            </w:r>
          </w:p>
        </w:tc>
      </w:tr>
      <w:tr w:rsidR="0083192D" w:rsidRPr="0083192D" w14:paraId="0A58A16B" w14:textId="77777777" w:rsidTr="0083192D">
        <w:trPr>
          <w:trHeight w:val="8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155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9F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Battle's Over' Tribute - Alfreton House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C5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11/11/2018 at 7pm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8A8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20.02.2018 (10h)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53E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Beacon £360.00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Gas £70.00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Events (£7000.00)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E1D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11.11.2018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66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</w:t>
            </w:r>
          </w:p>
        </w:tc>
      </w:tr>
      <w:tr w:rsidR="0083192D" w:rsidRPr="0083192D" w14:paraId="74928092" w14:textId="77777777" w:rsidTr="0083192D">
        <w:trPr>
          <w:trHeight w:val="14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ABD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638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Welfare Grounds - Alma Street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A01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AVBC request 5 </w:t>
            </w:r>
            <w:proofErr w:type="gram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year</w:t>
            </w:r>
            <w:proofErr w:type="gram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spend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 xml:space="preserve">Approach Football Club for management of park?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AC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05.09.17 (14) 20.02.18 (10c) 06.03.2018 (4a)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E26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None yet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1A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20.02.2018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3E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74BEF4B7" w14:textId="77777777" w:rsidTr="0083192D">
        <w:trPr>
          <w:trHeight w:val="11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CB6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BCB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Police Meeting: Parking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366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08/02/2018. Contact Civil Enforcement regarding Hotspots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Salcombe Rd parking restrictions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242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16.01.18 (5a)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20.02.18 (10) 06.03.2018 (4b)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716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No Budget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BE68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08.02.2018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FE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6297F89F" w14:textId="77777777" w:rsidTr="0083192D">
        <w:trPr>
          <w:trHeight w:val="57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4BC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ABA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Cash Office AVBC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4FC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Report to Jan 18.  Met AVBC 26.01.18. Chased AVBC 20.03.18. Survey early June.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F2A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16.01.18 (14a)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2A5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Cash Office (£15700.00)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1DA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01.04.2018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59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09F120D7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DBA0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09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Land at Leys 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00A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Met on site 20.07.18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833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17.10.17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EE1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2D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01.05.2018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57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578C3BF6" w14:textId="77777777" w:rsidTr="0083192D">
        <w:trPr>
          <w:trHeight w:val="399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9194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9A7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 xml:space="preserve">Interpretation Boards:                                                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>To install information boards at significant locations in Alfreton and to link them all into a walk of the Town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3D1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>Emailed Heritage Trust for information for board 4, 30/01/2018.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Interpretation Board installed and walk 06/05/17 - Watchorn Bus Shelter                            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4. Nottingham Road – Catholic Church     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5: Chesterfield Road – Mining Wheel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6: Peacocks flower bed – Severn Square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7:  Church Street – Churches                  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8: Alfreton Hall area                                      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9: Derby Road – Watchorn Bus Shelter and Park                 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>10: Library – Heritage Trail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 xml:space="preserve">11: David Nieper </w:t>
            </w:r>
            <w:proofErr w:type="gramStart"/>
            <w:r w:rsidRPr="0083192D">
              <w:rPr>
                <w:rFonts w:ascii="Verdana" w:hAnsi="Verdana" w:cs="Calibri"/>
                <w:sz w:val="22"/>
                <w:szCs w:val="22"/>
              </w:rPr>
              <w:t>Academy ?</w:t>
            </w:r>
            <w:proofErr w:type="gramEnd"/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  <w:t>12: Centenary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84B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20.12.16 (10b) 13.06.16 (10b)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FC3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 xml:space="preserve">20.12.16 £2680.00 minimum up to £3000.00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83192D">
              <w:rPr>
                <w:rFonts w:ascii="Verdana" w:hAnsi="Verdana" w:cs="Calibri"/>
                <w:b/>
                <w:bCs/>
                <w:sz w:val="22"/>
                <w:szCs w:val="22"/>
              </w:rPr>
              <w:t>Properties (£24000.00)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5EC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Ongoing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5E4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TC</w:t>
            </w:r>
          </w:p>
        </w:tc>
      </w:tr>
      <w:tr w:rsidR="0083192D" w:rsidRPr="0083192D" w14:paraId="49FC484B" w14:textId="77777777" w:rsidTr="0083192D">
        <w:trPr>
          <w:trHeight w:val="199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289B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CC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Master Plan for Environment                                                                                          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The Welfare Ground - Tennis Courts/Severn Square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E9F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Works started Sept 2017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Invoice for £7500.00 paid Feb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691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04.03.14 (2) 25.03.14 (5) 14.10.14 (8</w:t>
            </w:r>
            <w:proofErr w:type="gram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)  23.09.14</w:t>
            </w:r>
            <w:proofErr w:type="gram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(12k) 09.07.15   04.03.15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BEC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£7500.00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Environment (£15000.00)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9D1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01.05.2018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D85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ATC/SMC</w:t>
            </w:r>
          </w:p>
        </w:tc>
      </w:tr>
      <w:tr w:rsidR="0083192D" w:rsidRPr="0083192D" w14:paraId="06C773DF" w14:textId="77777777" w:rsidTr="0083192D">
        <w:trPr>
          <w:trHeight w:val="456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3D49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03C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Outseats Farm/Village Green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65E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Safety audit completed.  Letter sent to AVBC 24.11.16. Diversion of Footpath </w:t>
            </w: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recd</w:t>
            </w:r>
            <w:proofErr w:type="spell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25.11.16.  TP1 signed June 2017.  On site meeting to finalise </w:t>
            </w: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coditions</w:t>
            </w:r>
            <w:proofErr w:type="spell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October 2017. Naming and opening agreed Feb 18.  Paths mowed 2 </w:t>
            </w:r>
            <w:proofErr w:type="gram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weekly</w:t>
            </w:r>
            <w:proofErr w:type="gram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1E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15.02.16 27.10.15 12.11.13 (16</w:t>
            </w:r>
            <w:proofErr w:type="gram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)  17.12.13</w:t>
            </w:r>
            <w:proofErr w:type="gram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(11h) 14.01.14 (14 11a) 15.04.14 (16 13d) 13.05.14 (27a)  18.11.14 (11i) 22.09.15  11.10.16 11c   08.11.16 10a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19.09.17 (9) 20.02.18 (10a)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4C9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No budget required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Environment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DF0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18.12.18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BC6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23915956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F66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E60DB" w14:textId="77777777" w:rsidR="0083192D" w:rsidRPr="0083192D" w:rsidRDefault="0083192D" w:rsidP="0083192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8050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2CDD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1624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95233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05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5A61D00F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CFDC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8459" w14:textId="77777777" w:rsidR="0083192D" w:rsidRPr="0083192D" w:rsidRDefault="0083192D" w:rsidP="0083192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27FD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170F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287EB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2ABF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BC3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08F2D516" w14:textId="77777777" w:rsidTr="0083192D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BFF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65F" w14:textId="77777777" w:rsidR="0083192D" w:rsidRPr="0083192D" w:rsidRDefault="0083192D" w:rsidP="0083192D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16EEC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9275C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9CCF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875F" w14:textId="77777777" w:rsidR="0083192D" w:rsidRPr="0083192D" w:rsidRDefault="0083192D" w:rsidP="0083192D">
            <w:pPr>
              <w:spacing w:after="0" w:line="240" w:lineRule="auto"/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F6A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83192D" w:rsidRPr="0083192D" w14:paraId="5E61C6A3" w14:textId="77777777" w:rsidTr="0083192D">
        <w:trPr>
          <w:trHeight w:val="85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68DC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1/2/3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9EC9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Task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36D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Update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F4A8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1FE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A99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By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054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</w:rPr>
              <w:t>Responsibility</w:t>
            </w:r>
          </w:p>
        </w:tc>
      </w:tr>
      <w:tr w:rsidR="0083192D" w:rsidRPr="0083192D" w14:paraId="151EBB88" w14:textId="77777777" w:rsidTr="0083192D">
        <w:trPr>
          <w:trHeight w:val="142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393F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485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DDA</w:t>
            </w:r>
            <w:proofErr w:type="spell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and Station improvement:                                                  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 xml:space="preserve">To review and monitor plans for </w:t>
            </w: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DDA</w:t>
            </w:r>
            <w:proofErr w:type="spell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access at Alfreton Station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B4B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spell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AVAccess</w:t>
            </w:r>
            <w:proofErr w:type="spell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to send a letter regarding Equality Act.  Oct 2017 East Midlands Franchise consultation response sent.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C03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01.11.2015 27.09.16 (11b)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05.09.2017 (11)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5DC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No budget set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093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DB6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TC</w:t>
            </w:r>
          </w:p>
        </w:tc>
      </w:tr>
      <w:tr w:rsidR="0083192D" w:rsidRPr="0083192D" w14:paraId="5DF9629E" w14:textId="77777777" w:rsidTr="0083192D">
        <w:trPr>
          <w:trHeight w:val="2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1916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422D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Health and Safety review:                                                               To continually monitor and report on Health and Safety Issues for the Council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826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Dec 17.  Risk Assessment review due Dec 2018.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886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08.07.14 (12c) 18.11.14 (11</w:t>
            </w:r>
            <w:proofErr w:type="gramStart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g)  14.07.15</w:t>
            </w:r>
            <w:proofErr w:type="gramEnd"/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(14b and 15h) 12.01.16 (15a)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7DA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No budget required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Any action will be under necessary budget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92C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ED5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</w:t>
            </w:r>
          </w:p>
        </w:tc>
      </w:tr>
      <w:tr w:rsidR="0083192D" w:rsidRPr="0083192D" w14:paraId="3C0AF2D7" w14:textId="77777777" w:rsidTr="0083192D">
        <w:trPr>
          <w:trHeight w:val="285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1CBE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7A9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Local Council Award Scheme (</w:t>
            </w:r>
            <w:proofErr w:type="spellStart"/>
            <w:r w:rsidRPr="0083192D">
              <w:rPr>
                <w:rFonts w:ascii="Verdana" w:hAnsi="Verdana" w:cs="Calibri"/>
                <w:sz w:val="22"/>
                <w:szCs w:val="22"/>
              </w:rPr>
              <w:t>LCAS</w:t>
            </w:r>
            <w:proofErr w:type="spellEnd"/>
            <w:r w:rsidRPr="0083192D">
              <w:rPr>
                <w:rFonts w:ascii="Verdana" w:hAnsi="Verdana" w:cs="Calibri"/>
                <w:sz w:val="22"/>
                <w:szCs w:val="22"/>
              </w:rPr>
              <w:t>):                                                        To implement procedures and provide documentation for application of the Quality Level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DD5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Completed and sent March 2018.  Awaiting verification.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BDA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18.11.14 (11j) 03.11.15 (11c) 24.01.17 (11b) 14.03.17 (15b)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/>
              <w:t>20.02.18 (10b)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825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 xml:space="preserve">£3500.00 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/>
            </w:r>
            <w:r w:rsidRPr="0083192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Local Council Award </w:t>
            </w:r>
            <w:proofErr w:type="spellStart"/>
            <w:r w:rsidRPr="0083192D">
              <w:rPr>
                <w:rFonts w:ascii="Verdana" w:hAnsi="Verdana" w:cs="Calibri"/>
                <w:b/>
                <w:bCs/>
                <w:sz w:val="22"/>
                <w:szCs w:val="22"/>
              </w:rPr>
              <w:t>Scehme</w:t>
            </w:r>
            <w:proofErr w:type="spellEnd"/>
            <w:r w:rsidRPr="0083192D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Budget (£3500.00)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D81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28.02.2018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CE1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ATC</w:t>
            </w:r>
          </w:p>
        </w:tc>
      </w:tr>
      <w:tr w:rsidR="0083192D" w:rsidRPr="0083192D" w14:paraId="61F025A4" w14:textId="77777777" w:rsidTr="0083192D">
        <w:trPr>
          <w:trHeight w:val="8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FB93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E53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Christmas Event 2017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/>
              <w:t xml:space="preserve">Next event 24.11.2018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F66E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Successful raised &gt;£2300.00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A65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24.01.17 (11b)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286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£7000</w:t>
            </w:r>
            <w:r w:rsidRPr="0083192D">
              <w:rPr>
                <w:rFonts w:ascii="Verdana" w:hAnsi="Verdana" w:cs="Calibri"/>
                <w:b/>
                <w:bCs/>
                <w:sz w:val="22"/>
                <w:szCs w:val="22"/>
              </w:rPr>
              <w:br/>
              <w:t>Events Budget (£7000.00)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9D8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24.11.2018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821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GD</w:t>
            </w:r>
          </w:p>
        </w:tc>
      </w:tr>
      <w:tr w:rsidR="0083192D" w:rsidRPr="0083192D" w14:paraId="7262FB24" w14:textId="77777777" w:rsidTr="0083192D">
        <w:trPr>
          <w:trHeight w:val="1710"/>
        </w:trPr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A2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227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Survey of Alfreton House:                                                              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To conduct a survey of Alfreton House and consider remedial work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25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F Regs 4.1 takes effect and only quotes over the £5,000.00 threshold are further sanctioned by Full Council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/>
              <w:t>Leader of Properties and Leader or Deputy of Council authorised to implement the plan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392C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09.02.16 (11c + 16b) 27.09.16 (11d)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4074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No specific budget set</w:t>
            </w: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br/>
              <w:t>Properties (£24000.00)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521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Ongoing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462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ATC</w:t>
            </w:r>
          </w:p>
        </w:tc>
      </w:tr>
      <w:tr w:rsidR="0083192D" w:rsidRPr="0083192D" w14:paraId="03B57177" w14:textId="77777777" w:rsidTr="0083192D">
        <w:trPr>
          <w:trHeight w:val="57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E07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663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Future Planning of staff resources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79F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 xml:space="preserve">OA to start </w:t>
            </w:r>
            <w:proofErr w:type="spellStart"/>
            <w:r w:rsidRPr="0083192D">
              <w:rPr>
                <w:rFonts w:ascii="Verdana" w:hAnsi="Verdana" w:cs="Calibri"/>
                <w:sz w:val="22"/>
                <w:szCs w:val="22"/>
              </w:rPr>
              <w:t>Cilca</w:t>
            </w:r>
            <w:proofErr w:type="spellEnd"/>
            <w:r w:rsidRPr="0083192D">
              <w:rPr>
                <w:rFonts w:ascii="Verdana" w:hAnsi="Verdana" w:cs="Calibri"/>
                <w:sz w:val="22"/>
                <w:szCs w:val="22"/>
              </w:rPr>
              <w:t>. June 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2891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13.06.17 (10d)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94B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No budget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B30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B3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TC</w:t>
            </w:r>
          </w:p>
        </w:tc>
      </w:tr>
      <w:tr w:rsidR="0083192D" w:rsidRPr="0083192D" w14:paraId="5413631D" w14:textId="77777777" w:rsidTr="0083192D">
        <w:trPr>
          <w:trHeight w:val="85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5AB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EE1A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Policy and procedures review:                              </w:t>
            </w: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br w:type="page"/>
              <w:t>To ensure best practice and governance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462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 xml:space="preserve">All policy review for </w:t>
            </w:r>
            <w:proofErr w:type="spellStart"/>
            <w:r w:rsidRPr="0083192D">
              <w:rPr>
                <w:rFonts w:ascii="Verdana" w:hAnsi="Verdana" w:cs="Calibri"/>
                <w:sz w:val="22"/>
                <w:szCs w:val="22"/>
              </w:rPr>
              <w:t>LCAS</w:t>
            </w:r>
            <w:proofErr w:type="spellEnd"/>
            <w:r w:rsidRPr="0083192D">
              <w:rPr>
                <w:rFonts w:ascii="Verdana" w:hAnsi="Verdana" w:cs="Calibri"/>
                <w:sz w:val="22"/>
                <w:szCs w:val="22"/>
              </w:rPr>
              <w:t xml:space="preserve"> Feb 18</w:t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</w:r>
            <w:r w:rsidRPr="0083192D">
              <w:rPr>
                <w:rFonts w:ascii="Verdana" w:hAnsi="Verdana" w:cs="Calibri"/>
                <w:sz w:val="22"/>
                <w:szCs w:val="22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4BE" w14:textId="77777777" w:rsidR="0083192D" w:rsidRPr="0083192D" w:rsidRDefault="0083192D" w:rsidP="0083192D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Governance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1A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No budget required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B56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83192D">
              <w:rPr>
                <w:rFonts w:ascii="Verdana" w:hAnsi="Verdana" w:cs="Calibri"/>
                <w:color w:val="000000"/>
                <w:sz w:val="22"/>
                <w:szCs w:val="22"/>
              </w:rPr>
              <w:t>20.02.2018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9A7" w14:textId="77777777" w:rsidR="0083192D" w:rsidRPr="0083192D" w:rsidRDefault="0083192D" w:rsidP="0083192D">
            <w:pPr>
              <w:spacing w:after="0" w:line="240" w:lineRule="auto"/>
              <w:rPr>
                <w:rFonts w:ascii="Verdana" w:hAnsi="Verdana" w:cs="Calibri"/>
                <w:sz w:val="22"/>
                <w:szCs w:val="22"/>
              </w:rPr>
            </w:pPr>
            <w:r w:rsidRPr="0083192D">
              <w:rPr>
                <w:rFonts w:ascii="Verdana" w:hAnsi="Verdana" w:cs="Calibri"/>
                <w:sz w:val="22"/>
                <w:szCs w:val="22"/>
              </w:rPr>
              <w:t>ATC</w:t>
            </w:r>
          </w:p>
        </w:tc>
      </w:tr>
    </w:tbl>
    <w:p w14:paraId="60163461" w14:textId="77777777" w:rsidR="00D43DE9" w:rsidRDefault="00D43DE9"/>
    <w:sectPr w:rsidR="00D43DE9" w:rsidSect="00831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2D"/>
    <w:rsid w:val="0083192D"/>
    <w:rsid w:val="00D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4ABC20"/>
  <w15:chartTrackingRefBased/>
  <w15:docId w15:val="{9AF9A099-41FD-4AA1-84DC-290BDFC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Alfreton Town Council</cp:lastModifiedBy>
  <cp:revision>1</cp:revision>
  <dcterms:created xsi:type="dcterms:W3CDTF">2018-07-31T13:36:00Z</dcterms:created>
  <dcterms:modified xsi:type="dcterms:W3CDTF">2018-07-31T13:39:00Z</dcterms:modified>
</cp:coreProperties>
</file>